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1E915" w14:textId="77777777" w:rsidR="00991F68" w:rsidRDefault="00933C0C">
      <w:pPr>
        <w:pStyle w:val="Heading1"/>
      </w:pPr>
      <w:r>
        <w:t xml:space="preserve">About Rossendale Valley Energy  </w:t>
      </w:r>
    </w:p>
    <w:p w14:paraId="2F01E916" w14:textId="77777777" w:rsidR="00991F68" w:rsidRDefault="00933C0C">
      <w:pPr>
        <w:pStyle w:val="Textbody"/>
      </w:pPr>
      <w:r>
        <w:t xml:space="preserve">Rossendale Valley Energy is a Community Benefit Society focusing on the needs of left behind communities in the journey to net-zero.  Our key project Net Zero Terrace Street (NZTS) aims to deliver an </w:t>
      </w:r>
      <w:r>
        <w:t>innovative, community-centric initiative aimed at addressing the dual challenges of energy affordability and decarbonisation in the UK’s aging terraced housing stock.  With over 6 million two- and three-bedroom terraced homes that are often poorly insulated and energy inefficient without adequate space for an Air Source Heat Pump, the project seeks to create a replicable and scalable model for delivering affordable energy and healthy warm homes. The project is working to integrate shared ground loop heat pu</w:t>
      </w:r>
      <w:r>
        <w:t xml:space="preserve">mps, fabric retrofits, renewable energy systems, and smart local energy systems (SLES).  </w:t>
      </w:r>
    </w:p>
    <w:p w14:paraId="2F01E917" w14:textId="77777777" w:rsidR="00991F68" w:rsidRDefault="00933C0C">
      <w:pPr>
        <w:pStyle w:val="Textbody"/>
      </w:pPr>
      <w:r>
        <w:t xml:space="preserve">This response builds on the learnings from NZTS model and the steps needed to integrate a place-based approach within the local electrical system and market.  Without such integration the local electrical system will be unable to support more than circa 30% of homes being fitted with heat pumps without significant reinforcement.  </w:t>
      </w:r>
    </w:p>
    <w:p w14:paraId="2F01E918" w14:textId="77777777" w:rsidR="00991F68" w:rsidRDefault="00933C0C">
      <w:pPr>
        <w:pStyle w:val="Heading1"/>
      </w:pPr>
      <w:r>
        <w:t>Executive framing</w:t>
      </w:r>
    </w:p>
    <w:p w14:paraId="2F01E919" w14:textId="77777777" w:rsidR="00991F68" w:rsidRDefault="00933C0C">
      <w:pPr>
        <w:pStyle w:val="Textbody"/>
      </w:pPr>
      <w:r>
        <w:t>The UK is rapidly becoming an electro-state, with electrification of heat, transport and industry central to growth, energy security and decarbonisation. Market reform should therefore be judged not only by theoretical pricing efficiency, but by whether it enables safe, affordable and resilient electrification across the whole system.</w:t>
      </w:r>
    </w:p>
    <w:p w14:paraId="2F01E91A" w14:textId="77777777" w:rsidR="00991F68" w:rsidRDefault="00933C0C">
      <w:pPr>
        <w:pStyle w:val="Textbody"/>
      </w:pPr>
      <w:r>
        <w:t>A central weakness in recent debates, including REMA, is that electricity has too often been treated primarily as a tradable commodity rather than as a cyber-physical infrastructure system. Electricity is constrained by geography, network topology and real-time operability. Generation must be physically located, power flows across networks with finite capacity, and supply and demand must balance continuously. Market design alone cannot solve these constraints.</w:t>
      </w:r>
    </w:p>
    <w:p w14:paraId="2F01E91B" w14:textId="77777777" w:rsidR="00991F68" w:rsidRDefault="00933C0C">
      <w:pPr>
        <w:pStyle w:val="Textbody"/>
      </w:pPr>
      <w:r>
        <w:t xml:space="preserve">The key challenge for the 2030–2040 system is no longer generation investment alone. It is increasing operability, flexibility and coordination, particularly at distribution level where most new demand from EVs, heat pumps and household assets will connect. The underdeveloped architectural layer between national markets and household </w:t>
      </w:r>
      <w:proofErr w:type="gramStart"/>
      <w:r>
        <w:t>assets,  the</w:t>
      </w:r>
      <w:proofErr w:type="gramEnd"/>
      <w:r>
        <w:t xml:space="preserve"> distribution-level coordination and data layer, or “missing middle</w:t>
      </w:r>
      <w:proofErr w:type="gramStart"/>
      <w:r>
        <w:t>”,  will</w:t>
      </w:r>
      <w:proofErr w:type="gramEnd"/>
      <w:r>
        <w:t xml:space="preserve"> determine whether market reform delivers real system value or only financial reshuffling.</w:t>
      </w:r>
    </w:p>
    <w:p w14:paraId="2F01E91C" w14:textId="77777777" w:rsidR="00991F68" w:rsidRDefault="00933C0C">
      <w:pPr>
        <w:pStyle w:val="Standard"/>
        <w:ind w:left="709"/>
        <w:rPr>
          <w:b/>
          <w:bCs/>
        </w:rPr>
      </w:pPr>
      <w:r>
        <w:rPr>
          <w:b/>
          <w:bCs/>
        </w:rPr>
        <w:t>Q1. Should DNOs play a role in co-ordinating and supporting a cost‐effective energy transition through improved planning and supporting/directing targeted delivery?  How can they help make the transition more efficient and affordable for everyone, and do they have a role in supporting lower‐income households?</w:t>
      </w:r>
    </w:p>
    <w:p w14:paraId="2F01E91D" w14:textId="77777777" w:rsidR="00991F68" w:rsidRDefault="00933C0C">
      <w:pPr>
        <w:pStyle w:val="Textbody"/>
      </w:pPr>
      <w:r>
        <w:t>Yes</w:t>
      </w:r>
    </w:p>
    <w:p w14:paraId="2F01E91E" w14:textId="77777777" w:rsidR="00991F68" w:rsidRDefault="00933C0C">
      <w:pPr>
        <w:pStyle w:val="Textbody"/>
      </w:pPr>
      <w:r>
        <w:t>The NZTS project has had support from SP-ENW via SIF-alpha and NIA to ensure that the introduction of “place-based” introduction of multiple low-carbon technologies can be managed within the LV network.</w:t>
      </w:r>
    </w:p>
    <w:p w14:paraId="2F01E91F" w14:textId="77777777" w:rsidR="00991F68" w:rsidRDefault="00933C0C">
      <w:pPr>
        <w:pStyle w:val="Textbody"/>
      </w:pPr>
      <w:r>
        <w:t>The key point is that net zero is no longer primarily a generation investment challenge. It is increasingly a system coordination challenge.</w:t>
      </w:r>
    </w:p>
    <w:p w14:paraId="2F01E920" w14:textId="77777777" w:rsidR="00991F68" w:rsidRDefault="00933C0C">
      <w:pPr>
        <w:pStyle w:val="Textbody"/>
      </w:pPr>
      <w:r>
        <w:lastRenderedPageBreak/>
        <w:t>As electrification accelerates, millions of small assets — EVs, heat pumps, batteries, flexible appliances and community resources — become active participants in the system. The main barriers to decarbonisation are increasingly:</w:t>
      </w:r>
    </w:p>
    <w:p w14:paraId="2F01E921" w14:textId="77777777" w:rsidR="00991F68" w:rsidRDefault="00933C0C">
      <w:pPr>
        <w:pStyle w:val="Textbody"/>
        <w:numPr>
          <w:ilvl w:val="0"/>
          <w:numId w:val="1"/>
        </w:numPr>
        <w:spacing w:after="28"/>
      </w:pPr>
      <w:r>
        <w:t>network constraints</w:t>
      </w:r>
    </w:p>
    <w:p w14:paraId="2F01E922" w14:textId="77777777" w:rsidR="00991F68" w:rsidRDefault="00933C0C">
      <w:pPr>
        <w:pStyle w:val="Textbody"/>
        <w:numPr>
          <w:ilvl w:val="0"/>
          <w:numId w:val="1"/>
        </w:numPr>
        <w:spacing w:after="28"/>
      </w:pPr>
      <w:r>
        <w:t>connection delays</w:t>
      </w:r>
    </w:p>
    <w:p w14:paraId="2F01E923" w14:textId="77777777" w:rsidR="00991F68" w:rsidRDefault="00933C0C">
      <w:pPr>
        <w:pStyle w:val="Textbody"/>
        <w:numPr>
          <w:ilvl w:val="0"/>
          <w:numId w:val="1"/>
        </w:numPr>
        <w:spacing w:after="28"/>
      </w:pPr>
      <w:r>
        <w:t>curtailment</w:t>
      </w:r>
    </w:p>
    <w:p w14:paraId="2F01E924" w14:textId="77777777" w:rsidR="00991F68" w:rsidRDefault="00933C0C">
      <w:pPr>
        <w:pStyle w:val="Textbody"/>
        <w:numPr>
          <w:ilvl w:val="0"/>
          <w:numId w:val="1"/>
        </w:numPr>
        <w:spacing w:after="28"/>
      </w:pPr>
      <w:r>
        <w:t>balancing costs</w:t>
      </w:r>
    </w:p>
    <w:p w14:paraId="2F01E925" w14:textId="77777777" w:rsidR="00991F68" w:rsidRDefault="00933C0C">
      <w:pPr>
        <w:pStyle w:val="Textbody"/>
        <w:numPr>
          <w:ilvl w:val="0"/>
          <w:numId w:val="1"/>
        </w:numPr>
        <w:spacing w:after="28"/>
      </w:pPr>
      <w:r>
        <w:t>peak demand management</w:t>
      </w:r>
    </w:p>
    <w:p w14:paraId="2F01E926" w14:textId="77777777" w:rsidR="00991F68" w:rsidRDefault="00933C0C">
      <w:pPr>
        <w:pStyle w:val="Textbody"/>
        <w:numPr>
          <w:ilvl w:val="0"/>
          <w:numId w:val="1"/>
        </w:numPr>
        <w:spacing w:after="28"/>
      </w:pPr>
      <w:r>
        <w:t>lack of visibility and control at distribution level.</w:t>
      </w:r>
    </w:p>
    <w:p w14:paraId="2F01E927" w14:textId="77777777" w:rsidR="00991F68" w:rsidRDefault="00933C0C">
      <w:pPr>
        <w:pStyle w:val="Textbody"/>
      </w:pPr>
      <w:r>
        <w:t xml:space="preserve">Systems that manage </w:t>
      </w:r>
      <w:r>
        <w:t>implementations such as NZTS have “Community Energy System” capabilities that will likely have more granular and nearer real-time system-level status than existing DNO monitoring capabilities.</w:t>
      </w:r>
    </w:p>
    <w:p w14:paraId="2F01E928" w14:textId="77777777" w:rsidR="00991F68" w:rsidRDefault="00933C0C">
      <w:pPr>
        <w:pStyle w:val="Textbody"/>
      </w:pPr>
      <w:r>
        <w:t>The success of net zero depends on whether flexible demand and distributed assets can respond automatically and safely. In a highly electrified system, local network protection signals must be able to override national market optimisation. Otherwise, periods of low national prices and high renewable output may simply drive demand into already constrained neighbourhood networks.</w:t>
      </w:r>
    </w:p>
    <w:p w14:paraId="2F01E929" w14:textId="77777777" w:rsidR="00991F68" w:rsidRDefault="00933C0C">
      <w:pPr>
        <w:pStyle w:val="Textbody"/>
        <w:ind w:left="709"/>
        <w:rPr>
          <w:b/>
          <w:bCs/>
        </w:rPr>
      </w:pPr>
      <w:r>
        <w:rPr>
          <w:b/>
          <w:bCs/>
        </w:rPr>
        <w:t>Q2. Do you agree with the overall rationale and scope of 'Enhanced Co-ordination'?</w:t>
      </w:r>
    </w:p>
    <w:p w14:paraId="2F01E92A" w14:textId="77777777" w:rsidR="00991F68" w:rsidRDefault="00933C0C">
      <w:pPr>
        <w:pStyle w:val="Textbody"/>
      </w:pPr>
      <w:r>
        <w:t>In part.</w:t>
      </w:r>
    </w:p>
    <w:p w14:paraId="2F01E92B" w14:textId="77777777" w:rsidR="00991F68" w:rsidRDefault="00933C0C">
      <w:pPr>
        <w:pStyle w:val="Textbody"/>
      </w:pPr>
      <w:r>
        <w:t>The existing SP-ENW datasets present locational and size elements of the network but not loading or operating margin.</w:t>
      </w:r>
    </w:p>
    <w:p w14:paraId="2F01E92C" w14:textId="77777777" w:rsidR="00991F68" w:rsidRDefault="00933C0C">
      <w:pPr>
        <w:pStyle w:val="Textbody"/>
      </w:pPr>
      <w:r>
        <w:t>The proposed changes to Smart Optimisation Output do not appear to go far enough to provide:</w:t>
      </w:r>
    </w:p>
    <w:p w14:paraId="2F01E92D" w14:textId="77777777" w:rsidR="00991F68" w:rsidRDefault="00933C0C">
      <w:pPr>
        <w:pStyle w:val="Textbody"/>
        <w:numPr>
          <w:ilvl w:val="0"/>
          <w:numId w:val="1"/>
        </w:numPr>
        <w:spacing w:after="28"/>
      </w:pPr>
      <w:r>
        <w:t>low-voltage network constraints and substation capacity</w:t>
      </w:r>
    </w:p>
    <w:p w14:paraId="2F01E92E" w14:textId="77777777" w:rsidR="00991F68" w:rsidRDefault="00933C0C">
      <w:pPr>
        <w:pStyle w:val="Textbody"/>
        <w:numPr>
          <w:ilvl w:val="0"/>
          <w:numId w:val="1"/>
        </w:numPr>
        <w:spacing w:after="28"/>
      </w:pPr>
      <w:r>
        <w:t>real-time coordination of distributed flexibility</w:t>
      </w:r>
    </w:p>
    <w:p w14:paraId="2F01E92F" w14:textId="77777777" w:rsidR="00991F68" w:rsidRDefault="00933C0C">
      <w:pPr>
        <w:pStyle w:val="Textbody"/>
        <w:numPr>
          <w:ilvl w:val="0"/>
          <w:numId w:val="1"/>
        </w:numPr>
        <w:spacing w:after="28"/>
      </w:pPr>
      <w:r>
        <w:t>automation through home, building and community energy management systems</w:t>
      </w:r>
    </w:p>
    <w:p w14:paraId="2F01E930" w14:textId="77777777" w:rsidR="00991F68" w:rsidRDefault="00933C0C">
      <w:pPr>
        <w:pStyle w:val="Textbody"/>
        <w:numPr>
          <w:ilvl w:val="0"/>
          <w:numId w:val="1"/>
        </w:numPr>
        <w:spacing w:after="28"/>
      </w:pPr>
      <w:r>
        <w:t>the interaction between wholesale prices and local operational limits</w:t>
      </w:r>
    </w:p>
    <w:p w14:paraId="2F01E931" w14:textId="77777777" w:rsidR="00991F68" w:rsidRDefault="00933C0C">
      <w:pPr>
        <w:pStyle w:val="Textbody"/>
        <w:numPr>
          <w:ilvl w:val="0"/>
          <w:numId w:val="1"/>
        </w:numPr>
        <w:spacing w:after="28"/>
      </w:pPr>
      <w:r>
        <w:t>the role of Smart Local Energy Systems as the missing coordination layer.</w:t>
      </w:r>
    </w:p>
    <w:p w14:paraId="2F01E932" w14:textId="77777777" w:rsidR="00991F68" w:rsidRDefault="00933C0C">
      <w:pPr>
        <w:pStyle w:val="Textbody"/>
      </w:pPr>
      <w:r>
        <w:t>This matters because theoretical market efficiency is not the same as practical system performance. A pricing model may look attractive in wholesale simulations but fail when confronted with clustered EV charging, electrified heating peaks, feeder overloads or the absence of automated control.</w:t>
      </w:r>
    </w:p>
    <w:p w14:paraId="2F01E933" w14:textId="77777777" w:rsidR="00991F68" w:rsidRDefault="00933C0C">
      <w:pPr>
        <w:pStyle w:val="Textbody"/>
        <w:ind w:left="709"/>
        <w:rPr>
          <w:b/>
          <w:bCs/>
        </w:rPr>
      </w:pPr>
      <w:r>
        <w:rPr>
          <w:b/>
          <w:bCs/>
        </w:rPr>
        <w:t>Q3. What are your views of the effectiveness of the existing Collaboration Plan requirements? Do you think the enhanced Community Collaboration Plans we have described would be helpful to stakeholders and, if so, how best should they be monitored?</w:t>
      </w:r>
    </w:p>
    <w:p w14:paraId="2F01E934" w14:textId="77777777" w:rsidR="00991F68" w:rsidRDefault="00933C0C">
      <w:pPr>
        <w:pStyle w:val="Textbody"/>
      </w:pPr>
      <w:r>
        <w:t>In part.</w:t>
      </w:r>
    </w:p>
    <w:p w14:paraId="2F01E935" w14:textId="77777777" w:rsidR="00991F68" w:rsidRDefault="00933C0C">
      <w:pPr>
        <w:pStyle w:val="Textbody"/>
      </w:pPr>
      <w:r>
        <w:t xml:space="preserve">The proposals for DNOs to have a role in procuring flexibility services need to be enhanced to ensure that there is </w:t>
      </w:r>
      <w:proofErr w:type="spellStart"/>
      <w:r>
        <w:t>esting</w:t>
      </w:r>
      <w:proofErr w:type="spellEnd"/>
      <w:r>
        <w:t xml:space="preserve"> reform options against real distribution-level operability scenarios, including:</w:t>
      </w:r>
    </w:p>
    <w:p w14:paraId="2F01E936" w14:textId="77777777" w:rsidR="00991F68" w:rsidRDefault="00933C0C">
      <w:pPr>
        <w:pStyle w:val="Textbody"/>
        <w:numPr>
          <w:ilvl w:val="0"/>
          <w:numId w:val="1"/>
        </w:numPr>
        <w:spacing w:after="28"/>
      </w:pPr>
      <w:r>
        <w:lastRenderedPageBreak/>
        <w:t>EV clustering on residential feeders</w:t>
      </w:r>
    </w:p>
    <w:p w14:paraId="2F01E937" w14:textId="77777777" w:rsidR="00991F68" w:rsidRDefault="00933C0C">
      <w:pPr>
        <w:pStyle w:val="Textbody"/>
        <w:numPr>
          <w:ilvl w:val="0"/>
          <w:numId w:val="1"/>
        </w:numPr>
        <w:spacing w:after="28"/>
      </w:pPr>
      <w:r>
        <w:t>simultaneous electrified heating demand in cold weather</w:t>
      </w:r>
    </w:p>
    <w:p w14:paraId="2F01E938" w14:textId="77777777" w:rsidR="00991F68" w:rsidRDefault="00933C0C">
      <w:pPr>
        <w:pStyle w:val="Textbody"/>
        <w:numPr>
          <w:ilvl w:val="0"/>
          <w:numId w:val="1"/>
        </w:numPr>
        <w:spacing w:after="28"/>
      </w:pPr>
      <w:r>
        <w:t>local renewable surplus with constrained export capacity</w:t>
      </w:r>
    </w:p>
    <w:p w14:paraId="2F01E939" w14:textId="77777777" w:rsidR="00991F68" w:rsidRDefault="00933C0C">
      <w:pPr>
        <w:pStyle w:val="Textbody"/>
        <w:numPr>
          <w:ilvl w:val="0"/>
          <w:numId w:val="1"/>
        </w:numPr>
        <w:spacing w:after="28"/>
      </w:pPr>
      <w:r>
        <w:t>coordination between local flexibility and national balancing signals.</w:t>
      </w:r>
    </w:p>
    <w:p w14:paraId="2F01E93A" w14:textId="77777777" w:rsidR="00991F68" w:rsidRDefault="00933C0C">
      <w:pPr>
        <w:pStyle w:val="Textbody"/>
      </w:pPr>
      <w:r>
        <w:t xml:space="preserve">Future reform stages would benefit from more whole-system, real-world demonstrators that combine market signals, network constraints, consumer automation and local flexibility. Without this, policy risks being based on abstract modelling rather than evidence of what </w:t>
      </w:r>
      <w:proofErr w:type="gramStart"/>
      <w:r>
        <w:t>actually works</w:t>
      </w:r>
      <w:proofErr w:type="gramEnd"/>
      <w:r>
        <w:t xml:space="preserve"> in an electro-state.</w:t>
      </w:r>
    </w:p>
    <w:p w14:paraId="2F01E93B" w14:textId="77777777" w:rsidR="00991F68" w:rsidRDefault="00933C0C">
      <w:pPr>
        <w:pStyle w:val="Textbody"/>
      </w:pPr>
      <w:r>
        <w:t>A particular risk of the community collaboration approach is that it could lead underdevelopment in low-income areas where community organisations and skills may be lacking.</w:t>
      </w:r>
    </w:p>
    <w:p w14:paraId="2F01E93C" w14:textId="77777777" w:rsidR="00991F68" w:rsidRDefault="00933C0C">
      <w:pPr>
        <w:pStyle w:val="Textbody"/>
        <w:ind w:left="709"/>
        <w:rPr>
          <w:b/>
          <w:bCs/>
        </w:rPr>
      </w:pPr>
      <w:r>
        <w:rPr>
          <w:b/>
          <w:bCs/>
        </w:rPr>
        <w:t>Q4. How useful is the data currently published by DNOs, and is it presented adequately?</w:t>
      </w:r>
    </w:p>
    <w:p w14:paraId="2F01E93D" w14:textId="77777777" w:rsidR="00991F68" w:rsidRDefault="00933C0C">
      <w:pPr>
        <w:pStyle w:val="Textbody"/>
      </w:pPr>
      <w:r>
        <w:t>In part.</w:t>
      </w:r>
    </w:p>
    <w:p w14:paraId="2F01E93E" w14:textId="77777777" w:rsidR="00991F68" w:rsidRDefault="00933C0C">
      <w:pPr>
        <w:pStyle w:val="Textbody"/>
      </w:pPr>
      <w:r>
        <w:t xml:space="preserve">Current data is mainly static and does not always make </w:t>
      </w:r>
      <w:r>
        <w:t>clear the likely impact of additional technologies on network components.</w:t>
      </w:r>
    </w:p>
    <w:p w14:paraId="2F01E93F" w14:textId="77777777" w:rsidR="00991F68" w:rsidRDefault="00933C0C">
      <w:pPr>
        <w:pStyle w:val="Textbody"/>
      </w:pPr>
      <w:r>
        <w:t>Distribution System Operators actively manage local networks by procuring flexibility services from connected users to defer or avoid grid reinforcement. In 2024, network operators tendered a record 6.4GW of capacity on Great Britain's local flexibility markets, with 4GW contracted. Community energy systems are perfectly positioned to provide these local flexibility services.</w:t>
      </w:r>
    </w:p>
    <w:tbl>
      <w:tblPr>
        <w:tblW w:w="9638" w:type="dxa"/>
        <w:tblInd w:w="-3" w:type="dxa"/>
        <w:tblLayout w:type="fixed"/>
        <w:tblCellMar>
          <w:left w:w="10" w:type="dxa"/>
          <w:right w:w="10" w:type="dxa"/>
        </w:tblCellMar>
        <w:tblLook w:val="0000" w:firstRow="0" w:lastRow="0" w:firstColumn="0" w:lastColumn="0" w:noHBand="0" w:noVBand="0"/>
      </w:tblPr>
      <w:tblGrid>
        <w:gridCol w:w="3212"/>
        <w:gridCol w:w="3213"/>
        <w:gridCol w:w="3213"/>
      </w:tblGrid>
      <w:tr w:rsidR="00991F68" w14:paraId="2F01E943" w14:textId="77777777">
        <w:tblPrEx>
          <w:tblCellMar>
            <w:top w:w="0" w:type="dxa"/>
            <w:bottom w:w="0" w:type="dxa"/>
          </w:tblCellMar>
        </w:tblPrEx>
        <w:tc>
          <w:tcPr>
            <w:tcW w:w="3212" w:type="dxa"/>
            <w:tcBorders>
              <w:top w:val="single" w:sz="4" w:space="0" w:color="000000"/>
              <w:left w:val="single" w:sz="4" w:space="0" w:color="000000"/>
              <w:bottom w:val="single" w:sz="4" w:space="0" w:color="000000"/>
            </w:tcBorders>
            <w:tcMar>
              <w:top w:w="55" w:type="dxa"/>
              <w:left w:w="55" w:type="dxa"/>
              <w:bottom w:w="55" w:type="dxa"/>
              <w:right w:w="55" w:type="dxa"/>
            </w:tcMar>
          </w:tcPr>
          <w:p w14:paraId="2F01E940" w14:textId="77777777" w:rsidR="00991F68" w:rsidRDefault="00933C0C">
            <w:pPr>
              <w:pStyle w:val="Textbody"/>
            </w:pPr>
            <w:r>
              <w:t>Dimension</w:t>
            </w:r>
          </w:p>
        </w:tc>
        <w:tc>
          <w:tcPr>
            <w:tcW w:w="3213" w:type="dxa"/>
            <w:tcBorders>
              <w:top w:val="single" w:sz="4" w:space="0" w:color="000000"/>
              <w:left w:val="single" w:sz="4" w:space="0" w:color="000000"/>
              <w:bottom w:val="single" w:sz="4" w:space="0" w:color="000000"/>
            </w:tcBorders>
            <w:tcMar>
              <w:top w:w="55" w:type="dxa"/>
              <w:left w:w="55" w:type="dxa"/>
              <w:bottom w:w="55" w:type="dxa"/>
              <w:right w:w="55" w:type="dxa"/>
            </w:tcMar>
          </w:tcPr>
          <w:p w14:paraId="2F01E941" w14:textId="77777777" w:rsidR="00991F68" w:rsidRDefault="00933C0C">
            <w:pPr>
              <w:pStyle w:val="Textbody"/>
            </w:pPr>
            <w:r>
              <w:t>DNO Model (Traditional)</w:t>
            </w:r>
          </w:p>
        </w:tc>
        <w:tc>
          <w:tcPr>
            <w:tcW w:w="32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F01E942" w14:textId="77777777" w:rsidR="00991F68" w:rsidRDefault="00933C0C">
            <w:pPr>
              <w:pStyle w:val="Textbody"/>
            </w:pPr>
            <w:r>
              <w:t xml:space="preserve">DSO Model </w:t>
            </w:r>
            <w:r>
              <w:t>(Emerging)</w:t>
            </w:r>
          </w:p>
        </w:tc>
      </w:tr>
      <w:tr w:rsidR="00991F68" w14:paraId="2F01E947" w14:textId="77777777">
        <w:tblPrEx>
          <w:tblCellMar>
            <w:top w:w="0" w:type="dxa"/>
            <w:bottom w:w="0" w:type="dxa"/>
          </w:tblCellMar>
        </w:tblPrEx>
        <w:tc>
          <w:tcPr>
            <w:tcW w:w="3212" w:type="dxa"/>
            <w:tcBorders>
              <w:left w:val="single" w:sz="4" w:space="0" w:color="000000"/>
              <w:bottom w:val="single" w:sz="4" w:space="0" w:color="000000"/>
            </w:tcBorders>
            <w:tcMar>
              <w:top w:w="55" w:type="dxa"/>
              <w:left w:w="55" w:type="dxa"/>
              <w:bottom w:w="55" w:type="dxa"/>
              <w:right w:w="55" w:type="dxa"/>
            </w:tcMar>
          </w:tcPr>
          <w:p w14:paraId="2F01E944" w14:textId="77777777" w:rsidR="00991F68" w:rsidRDefault="00933C0C">
            <w:pPr>
              <w:pStyle w:val="Textbody"/>
            </w:pPr>
            <w:r>
              <w:t>Primary Role</w:t>
            </w:r>
          </w:p>
        </w:tc>
        <w:tc>
          <w:tcPr>
            <w:tcW w:w="3213" w:type="dxa"/>
            <w:tcBorders>
              <w:left w:val="single" w:sz="4" w:space="0" w:color="000000"/>
              <w:bottom w:val="single" w:sz="4" w:space="0" w:color="000000"/>
            </w:tcBorders>
            <w:tcMar>
              <w:top w:w="55" w:type="dxa"/>
              <w:left w:w="55" w:type="dxa"/>
              <w:bottom w:w="55" w:type="dxa"/>
              <w:right w:w="55" w:type="dxa"/>
            </w:tcMar>
          </w:tcPr>
          <w:p w14:paraId="2F01E945" w14:textId="77777777" w:rsidR="00991F68" w:rsidRDefault="00933C0C">
            <w:pPr>
              <w:pStyle w:val="Textbody"/>
            </w:pPr>
            <w:r>
              <w:t>Passive network builder and maintainer</w:t>
            </w:r>
          </w:p>
        </w:tc>
        <w:tc>
          <w:tcPr>
            <w:tcW w:w="32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46" w14:textId="77777777" w:rsidR="00991F68" w:rsidRDefault="00933C0C">
            <w:pPr>
              <w:pStyle w:val="Textbody"/>
            </w:pPr>
            <w:r>
              <w:t>Active network manager and market facilitator</w:t>
            </w:r>
          </w:p>
        </w:tc>
      </w:tr>
      <w:tr w:rsidR="00991F68" w14:paraId="2F01E94B" w14:textId="77777777">
        <w:tblPrEx>
          <w:tblCellMar>
            <w:top w:w="0" w:type="dxa"/>
            <w:bottom w:w="0" w:type="dxa"/>
          </w:tblCellMar>
        </w:tblPrEx>
        <w:tc>
          <w:tcPr>
            <w:tcW w:w="3212" w:type="dxa"/>
            <w:tcBorders>
              <w:left w:val="single" w:sz="4" w:space="0" w:color="000000"/>
              <w:bottom w:val="single" w:sz="4" w:space="0" w:color="000000"/>
            </w:tcBorders>
            <w:tcMar>
              <w:top w:w="55" w:type="dxa"/>
              <w:left w:w="55" w:type="dxa"/>
              <w:bottom w:w="55" w:type="dxa"/>
              <w:right w:w="55" w:type="dxa"/>
            </w:tcMar>
          </w:tcPr>
          <w:p w14:paraId="2F01E948" w14:textId="77777777" w:rsidR="00991F68" w:rsidRDefault="00933C0C">
            <w:pPr>
              <w:pStyle w:val="Textbody"/>
            </w:pPr>
            <w:r>
              <w:t>Constraint Management</w:t>
            </w:r>
          </w:p>
        </w:tc>
        <w:tc>
          <w:tcPr>
            <w:tcW w:w="3213" w:type="dxa"/>
            <w:tcBorders>
              <w:left w:val="single" w:sz="4" w:space="0" w:color="000000"/>
              <w:bottom w:val="single" w:sz="4" w:space="0" w:color="000000"/>
            </w:tcBorders>
            <w:tcMar>
              <w:top w:w="55" w:type="dxa"/>
              <w:left w:w="55" w:type="dxa"/>
              <w:bottom w:w="55" w:type="dxa"/>
              <w:right w:w="55" w:type="dxa"/>
            </w:tcMar>
          </w:tcPr>
          <w:p w14:paraId="2F01E949" w14:textId="77777777" w:rsidR="00991F68" w:rsidRDefault="00933C0C">
            <w:pPr>
              <w:pStyle w:val="Textbody"/>
            </w:pPr>
            <w:r>
              <w:t>Physical reinforcement (cables, substations)</w:t>
            </w:r>
          </w:p>
        </w:tc>
        <w:tc>
          <w:tcPr>
            <w:tcW w:w="32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4A" w14:textId="77777777" w:rsidR="00991F68" w:rsidRDefault="00933C0C">
            <w:pPr>
              <w:pStyle w:val="Textbody"/>
            </w:pPr>
            <w:r>
              <w:t>Flexibility procurement from connected users</w:t>
            </w:r>
          </w:p>
        </w:tc>
      </w:tr>
      <w:tr w:rsidR="00991F68" w14:paraId="2F01E94F" w14:textId="77777777">
        <w:tblPrEx>
          <w:tblCellMar>
            <w:top w:w="0" w:type="dxa"/>
            <w:bottom w:w="0" w:type="dxa"/>
          </w:tblCellMar>
        </w:tblPrEx>
        <w:tc>
          <w:tcPr>
            <w:tcW w:w="3212" w:type="dxa"/>
            <w:tcBorders>
              <w:left w:val="single" w:sz="4" w:space="0" w:color="000000"/>
              <w:bottom w:val="single" w:sz="4" w:space="0" w:color="000000"/>
            </w:tcBorders>
            <w:tcMar>
              <w:top w:w="55" w:type="dxa"/>
              <w:left w:w="55" w:type="dxa"/>
              <w:bottom w:w="55" w:type="dxa"/>
              <w:right w:w="55" w:type="dxa"/>
            </w:tcMar>
          </w:tcPr>
          <w:p w14:paraId="2F01E94C" w14:textId="77777777" w:rsidR="00991F68" w:rsidRDefault="00933C0C">
            <w:pPr>
              <w:pStyle w:val="Textbody"/>
            </w:pPr>
            <w:r>
              <w:t>Consumer Role</w:t>
            </w:r>
          </w:p>
        </w:tc>
        <w:tc>
          <w:tcPr>
            <w:tcW w:w="3213" w:type="dxa"/>
            <w:tcBorders>
              <w:left w:val="single" w:sz="4" w:space="0" w:color="000000"/>
              <w:bottom w:val="single" w:sz="4" w:space="0" w:color="000000"/>
            </w:tcBorders>
            <w:tcMar>
              <w:top w:w="55" w:type="dxa"/>
              <w:left w:w="55" w:type="dxa"/>
              <w:bottom w:w="55" w:type="dxa"/>
              <w:right w:w="55" w:type="dxa"/>
            </w:tcMar>
          </w:tcPr>
          <w:p w14:paraId="2F01E94D" w14:textId="77777777" w:rsidR="00991F68" w:rsidRDefault="00933C0C">
            <w:pPr>
              <w:pStyle w:val="Textbody"/>
            </w:pPr>
            <w:r>
              <w:t>Passive load</w:t>
            </w:r>
          </w:p>
        </w:tc>
        <w:tc>
          <w:tcPr>
            <w:tcW w:w="32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4E" w14:textId="77777777" w:rsidR="00991F68" w:rsidRDefault="00933C0C">
            <w:pPr>
              <w:pStyle w:val="Textbody"/>
            </w:pPr>
            <w:r>
              <w:t>Active participant and flexibility provider</w:t>
            </w:r>
          </w:p>
        </w:tc>
      </w:tr>
      <w:tr w:rsidR="00991F68" w14:paraId="2F01E953" w14:textId="77777777">
        <w:tblPrEx>
          <w:tblCellMar>
            <w:top w:w="0" w:type="dxa"/>
            <w:bottom w:w="0" w:type="dxa"/>
          </w:tblCellMar>
        </w:tblPrEx>
        <w:tc>
          <w:tcPr>
            <w:tcW w:w="3212" w:type="dxa"/>
            <w:tcBorders>
              <w:left w:val="single" w:sz="4" w:space="0" w:color="000000"/>
              <w:bottom w:val="single" w:sz="4" w:space="0" w:color="000000"/>
            </w:tcBorders>
            <w:tcMar>
              <w:top w:w="55" w:type="dxa"/>
              <w:left w:w="55" w:type="dxa"/>
              <w:bottom w:w="55" w:type="dxa"/>
              <w:right w:w="55" w:type="dxa"/>
            </w:tcMar>
          </w:tcPr>
          <w:p w14:paraId="2F01E950" w14:textId="77777777" w:rsidR="00991F68" w:rsidRDefault="00933C0C">
            <w:pPr>
              <w:pStyle w:val="Textbody"/>
            </w:pPr>
            <w:r>
              <w:t>Community Energy Role</w:t>
            </w:r>
          </w:p>
        </w:tc>
        <w:tc>
          <w:tcPr>
            <w:tcW w:w="3213" w:type="dxa"/>
            <w:tcBorders>
              <w:left w:val="single" w:sz="4" w:space="0" w:color="000000"/>
              <w:bottom w:val="single" w:sz="4" w:space="0" w:color="000000"/>
            </w:tcBorders>
            <w:tcMar>
              <w:top w:w="55" w:type="dxa"/>
              <w:left w:w="55" w:type="dxa"/>
              <w:bottom w:w="55" w:type="dxa"/>
              <w:right w:w="55" w:type="dxa"/>
            </w:tcMar>
          </w:tcPr>
          <w:p w14:paraId="2F01E951" w14:textId="77777777" w:rsidR="00991F68" w:rsidRDefault="00933C0C">
            <w:pPr>
              <w:pStyle w:val="Textbody"/>
            </w:pPr>
            <w:r>
              <w:t>Marginal and often constrained</w:t>
            </w:r>
          </w:p>
        </w:tc>
        <w:tc>
          <w:tcPr>
            <w:tcW w:w="32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52" w14:textId="77777777" w:rsidR="00991F68" w:rsidRDefault="00933C0C">
            <w:pPr>
              <w:pStyle w:val="Textbody"/>
            </w:pPr>
            <w:r>
              <w:t>Central to local constraint management</w:t>
            </w:r>
          </w:p>
        </w:tc>
      </w:tr>
      <w:tr w:rsidR="00991F68" w14:paraId="2F01E957" w14:textId="77777777">
        <w:tblPrEx>
          <w:tblCellMar>
            <w:top w:w="0" w:type="dxa"/>
            <w:bottom w:w="0" w:type="dxa"/>
          </w:tblCellMar>
        </w:tblPrEx>
        <w:tc>
          <w:tcPr>
            <w:tcW w:w="3212" w:type="dxa"/>
            <w:tcBorders>
              <w:left w:val="single" w:sz="4" w:space="0" w:color="000000"/>
              <w:bottom w:val="single" w:sz="4" w:space="0" w:color="000000"/>
            </w:tcBorders>
            <w:tcMar>
              <w:top w:w="55" w:type="dxa"/>
              <w:left w:w="55" w:type="dxa"/>
              <w:bottom w:w="55" w:type="dxa"/>
              <w:right w:w="55" w:type="dxa"/>
            </w:tcMar>
          </w:tcPr>
          <w:p w14:paraId="2F01E954" w14:textId="77777777" w:rsidR="00991F68" w:rsidRDefault="00933C0C">
            <w:pPr>
              <w:pStyle w:val="Textbody"/>
            </w:pPr>
            <w:r>
              <w:t>Cost Implication</w:t>
            </w:r>
          </w:p>
        </w:tc>
        <w:tc>
          <w:tcPr>
            <w:tcW w:w="3213" w:type="dxa"/>
            <w:tcBorders>
              <w:left w:val="single" w:sz="4" w:space="0" w:color="000000"/>
              <w:bottom w:val="single" w:sz="4" w:space="0" w:color="000000"/>
            </w:tcBorders>
            <w:tcMar>
              <w:top w:w="55" w:type="dxa"/>
              <w:left w:w="55" w:type="dxa"/>
              <w:bottom w:w="55" w:type="dxa"/>
              <w:right w:w="55" w:type="dxa"/>
            </w:tcMar>
          </w:tcPr>
          <w:p w14:paraId="2F01E955" w14:textId="77777777" w:rsidR="00991F68" w:rsidRDefault="00933C0C">
            <w:pPr>
              <w:pStyle w:val="Textbody"/>
            </w:pPr>
            <w:r>
              <w:t>High capital expenditure</w:t>
            </w:r>
          </w:p>
        </w:tc>
        <w:tc>
          <w:tcPr>
            <w:tcW w:w="32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56" w14:textId="77777777" w:rsidR="00991F68" w:rsidRDefault="00933C0C">
            <w:pPr>
              <w:pStyle w:val="Textbody"/>
            </w:pPr>
            <w:r>
              <w:t>Lower whole-system cost through flexibility</w:t>
            </w:r>
          </w:p>
        </w:tc>
      </w:tr>
    </w:tbl>
    <w:p w14:paraId="2F01E958" w14:textId="77777777" w:rsidR="00991F68" w:rsidRDefault="00991F68">
      <w:pPr>
        <w:pStyle w:val="Textbody"/>
      </w:pPr>
    </w:p>
    <w:p w14:paraId="2F01E959" w14:textId="77777777" w:rsidR="00991F68" w:rsidRDefault="00933C0C">
      <w:pPr>
        <w:pStyle w:val="Textbody"/>
        <w:ind w:left="709"/>
        <w:rPr>
          <w:b/>
          <w:bCs/>
        </w:rPr>
      </w:pPr>
      <w:r>
        <w:rPr>
          <w:b/>
          <w:bCs/>
        </w:rPr>
        <w:t>Q5. What are your views on strengthening the System Visualisation Interface requirement, and would it be valuable for DNOs to collate and publish additional non‐network datasets, if so, which datasets would be most beneficial?</w:t>
      </w:r>
    </w:p>
    <w:p w14:paraId="2F01E95A" w14:textId="77777777" w:rsidR="00991F68" w:rsidRDefault="00933C0C">
      <w:pPr>
        <w:pStyle w:val="Textbody"/>
      </w:pPr>
      <w:r>
        <w:t xml:space="preserve">A traditional system visualisation interface will not meet the requirements of a Smart Local Energy System ((SLES) which is a distributed, constraint-bound physical system comprising millions of </w:t>
      </w:r>
      <w:r>
        <w:lastRenderedPageBreak/>
        <w:t>heat pumps, EVs, solar panels, and batteries cannot be coordinated via spreadsheets or siloed platforms. The SLES requires an "</w:t>
      </w:r>
      <w:proofErr w:type="spellStart"/>
      <w:r>
        <w:t>EnergyOS</w:t>
      </w:r>
      <w:proofErr w:type="spellEnd"/>
      <w:r>
        <w:t>" which represents a stack-level operating model designed to manage this complexity.</w:t>
      </w:r>
    </w:p>
    <w:tbl>
      <w:tblPr>
        <w:tblW w:w="9638" w:type="dxa"/>
        <w:tblInd w:w="-3" w:type="dxa"/>
        <w:tblLayout w:type="fixed"/>
        <w:tblCellMar>
          <w:left w:w="10" w:type="dxa"/>
          <w:right w:w="10" w:type="dxa"/>
        </w:tblCellMar>
        <w:tblLook w:val="0000" w:firstRow="0" w:lastRow="0" w:firstColumn="0" w:lastColumn="0" w:noHBand="0" w:noVBand="0"/>
      </w:tblPr>
      <w:tblGrid>
        <w:gridCol w:w="3225"/>
        <w:gridCol w:w="6413"/>
      </w:tblGrid>
      <w:tr w:rsidR="00991F68" w14:paraId="2F01E95D" w14:textId="77777777">
        <w:tblPrEx>
          <w:tblCellMar>
            <w:top w:w="0" w:type="dxa"/>
            <w:bottom w:w="0" w:type="dxa"/>
          </w:tblCellMar>
        </w:tblPrEx>
        <w:tc>
          <w:tcPr>
            <w:tcW w:w="3225" w:type="dxa"/>
            <w:tcBorders>
              <w:top w:val="single" w:sz="4" w:space="0" w:color="000000"/>
              <w:left w:val="single" w:sz="4" w:space="0" w:color="000000"/>
              <w:bottom w:val="single" w:sz="4" w:space="0" w:color="000000"/>
            </w:tcBorders>
            <w:tcMar>
              <w:top w:w="55" w:type="dxa"/>
              <w:left w:w="55" w:type="dxa"/>
              <w:bottom w:w="55" w:type="dxa"/>
              <w:right w:w="55" w:type="dxa"/>
            </w:tcMar>
          </w:tcPr>
          <w:p w14:paraId="2F01E95B" w14:textId="77777777" w:rsidR="00991F68" w:rsidRDefault="00933C0C">
            <w:pPr>
              <w:pStyle w:val="Textbody"/>
              <w:rPr>
                <w:b/>
                <w:bCs/>
              </w:rPr>
            </w:pPr>
            <w:r>
              <w:rPr>
                <w:b/>
                <w:bCs/>
              </w:rPr>
              <w:t xml:space="preserve">Layer 1 </w:t>
            </w:r>
            <w:r>
              <w:rPr>
                <w:b/>
                <w:bCs/>
              </w:rPr>
              <w:br/>
            </w:r>
            <w:r>
              <w:rPr>
                <w:b/>
                <w:bCs/>
              </w:rPr>
              <w:t>Physical Layer</w:t>
            </w:r>
          </w:p>
        </w:tc>
        <w:tc>
          <w:tcPr>
            <w:tcW w:w="6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F01E95C" w14:textId="77777777" w:rsidR="00991F68" w:rsidRDefault="00933C0C">
            <w:pPr>
              <w:pStyle w:val="Textbody"/>
            </w:pPr>
            <w:r>
              <w:t xml:space="preserve">Devices such as inverters, EV chargers, and heat pumps must be secure-by-default, upgradable via software, and </w:t>
            </w:r>
            <w:r>
              <w:t>interoperable with any management system using mandated open standards.</w:t>
            </w:r>
          </w:p>
        </w:tc>
      </w:tr>
      <w:tr w:rsidR="00991F68" w14:paraId="2F01E960" w14:textId="77777777">
        <w:tblPrEx>
          <w:tblCellMar>
            <w:top w:w="0" w:type="dxa"/>
            <w:bottom w:w="0" w:type="dxa"/>
          </w:tblCellMar>
        </w:tblPrEx>
        <w:tc>
          <w:tcPr>
            <w:tcW w:w="3225" w:type="dxa"/>
            <w:tcBorders>
              <w:left w:val="single" w:sz="4" w:space="0" w:color="000000"/>
              <w:bottom w:val="single" w:sz="4" w:space="0" w:color="000000"/>
            </w:tcBorders>
            <w:tcMar>
              <w:top w:w="55" w:type="dxa"/>
              <w:left w:w="55" w:type="dxa"/>
              <w:bottom w:w="55" w:type="dxa"/>
              <w:right w:w="55" w:type="dxa"/>
            </w:tcMar>
          </w:tcPr>
          <w:p w14:paraId="2F01E95E" w14:textId="77777777" w:rsidR="00991F68" w:rsidRDefault="00933C0C">
            <w:pPr>
              <w:pStyle w:val="Textbody"/>
              <w:rPr>
                <w:b/>
                <w:bCs/>
              </w:rPr>
            </w:pPr>
            <w:r>
              <w:rPr>
                <w:b/>
                <w:bCs/>
              </w:rPr>
              <w:t xml:space="preserve">Layer 2 </w:t>
            </w:r>
            <w:r>
              <w:rPr>
                <w:b/>
                <w:bCs/>
              </w:rPr>
              <w:br/>
            </w:r>
            <w:r>
              <w:rPr>
                <w:b/>
                <w:bCs/>
              </w:rPr>
              <w:t>Connectivity Layer</w:t>
            </w:r>
          </w:p>
        </w:tc>
        <w:tc>
          <w:tcPr>
            <w:tcW w:w="64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5F" w14:textId="77777777" w:rsidR="00991F68" w:rsidRDefault="00933C0C">
            <w:pPr>
              <w:pStyle w:val="Textbody"/>
            </w:pPr>
            <w:r>
              <w:t>Resilient, CNI-grade communication networks that guarantee the delivery of control signals to distributed assets even during periods of high demand or network stress.</w:t>
            </w:r>
          </w:p>
        </w:tc>
      </w:tr>
      <w:tr w:rsidR="00991F68" w14:paraId="2F01E963" w14:textId="77777777">
        <w:tblPrEx>
          <w:tblCellMar>
            <w:top w:w="0" w:type="dxa"/>
            <w:bottom w:w="0" w:type="dxa"/>
          </w:tblCellMar>
        </w:tblPrEx>
        <w:tc>
          <w:tcPr>
            <w:tcW w:w="3225" w:type="dxa"/>
            <w:tcBorders>
              <w:left w:val="single" w:sz="4" w:space="0" w:color="000000"/>
              <w:bottom w:val="single" w:sz="4" w:space="0" w:color="000000"/>
            </w:tcBorders>
            <w:tcMar>
              <w:top w:w="55" w:type="dxa"/>
              <w:left w:w="55" w:type="dxa"/>
              <w:bottom w:w="55" w:type="dxa"/>
              <w:right w:w="55" w:type="dxa"/>
            </w:tcMar>
          </w:tcPr>
          <w:p w14:paraId="2F01E961" w14:textId="77777777" w:rsidR="00991F68" w:rsidRDefault="00933C0C">
            <w:pPr>
              <w:pStyle w:val="Textbody"/>
              <w:rPr>
                <w:b/>
                <w:bCs/>
              </w:rPr>
            </w:pPr>
            <w:r>
              <w:rPr>
                <w:b/>
                <w:bCs/>
              </w:rPr>
              <w:t xml:space="preserve">Layer 3 </w:t>
            </w:r>
            <w:r>
              <w:rPr>
                <w:b/>
                <w:bCs/>
              </w:rPr>
              <w:br/>
            </w:r>
            <w:r>
              <w:rPr>
                <w:b/>
                <w:bCs/>
              </w:rPr>
              <w:t>Data &amp; Identity Layer</w:t>
            </w:r>
          </w:p>
        </w:tc>
        <w:tc>
          <w:tcPr>
            <w:tcW w:w="64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62" w14:textId="77777777" w:rsidR="00991F68" w:rsidRDefault="00933C0C">
            <w:pPr>
              <w:pStyle w:val="Textbody"/>
            </w:pPr>
            <w:r>
              <w:t>A framework for trust, identity, and consent enabling the 'Prepare, Trust, Share' data exchange pattern, ensuring consumers control their data and understand how it is used.</w:t>
            </w:r>
          </w:p>
        </w:tc>
      </w:tr>
      <w:tr w:rsidR="00991F68" w14:paraId="2F01E966" w14:textId="77777777">
        <w:tblPrEx>
          <w:tblCellMar>
            <w:top w:w="0" w:type="dxa"/>
            <w:bottom w:w="0" w:type="dxa"/>
          </w:tblCellMar>
        </w:tblPrEx>
        <w:tc>
          <w:tcPr>
            <w:tcW w:w="3225" w:type="dxa"/>
            <w:tcBorders>
              <w:left w:val="single" w:sz="4" w:space="0" w:color="000000"/>
              <w:bottom w:val="single" w:sz="4" w:space="0" w:color="000000"/>
            </w:tcBorders>
            <w:tcMar>
              <w:top w:w="55" w:type="dxa"/>
              <w:left w:w="55" w:type="dxa"/>
              <w:bottom w:w="55" w:type="dxa"/>
              <w:right w:w="55" w:type="dxa"/>
            </w:tcMar>
          </w:tcPr>
          <w:p w14:paraId="2F01E964" w14:textId="77777777" w:rsidR="00991F68" w:rsidRDefault="00933C0C">
            <w:pPr>
              <w:pStyle w:val="Textbody"/>
              <w:rPr>
                <w:b/>
                <w:bCs/>
              </w:rPr>
            </w:pPr>
            <w:r>
              <w:rPr>
                <w:b/>
                <w:bCs/>
              </w:rPr>
              <w:t xml:space="preserve">Layer 4 </w:t>
            </w:r>
            <w:r>
              <w:rPr>
                <w:b/>
                <w:bCs/>
              </w:rPr>
              <w:br/>
            </w:r>
            <w:r>
              <w:rPr>
                <w:b/>
                <w:bCs/>
              </w:rPr>
              <w:t>Market &amp; Operational Layer</w:t>
            </w:r>
          </w:p>
        </w:tc>
        <w:tc>
          <w:tcPr>
            <w:tcW w:w="64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65" w14:textId="77777777" w:rsidR="00991F68" w:rsidRDefault="00933C0C">
            <w:pPr>
              <w:pStyle w:val="Textbody"/>
            </w:pPr>
            <w:r>
              <w:t>Standardised APIs for settlement, flexibility dispatch, and constraint management, allowing community SLES to interact seamlessly with NESO and DSOs.</w:t>
            </w:r>
          </w:p>
        </w:tc>
      </w:tr>
      <w:tr w:rsidR="00991F68" w14:paraId="2F01E969" w14:textId="77777777">
        <w:tblPrEx>
          <w:tblCellMar>
            <w:top w:w="0" w:type="dxa"/>
            <w:bottom w:w="0" w:type="dxa"/>
          </w:tblCellMar>
        </w:tblPrEx>
        <w:tc>
          <w:tcPr>
            <w:tcW w:w="3225" w:type="dxa"/>
            <w:tcBorders>
              <w:left w:val="single" w:sz="4" w:space="0" w:color="000000"/>
              <w:bottom w:val="single" w:sz="4" w:space="0" w:color="000000"/>
            </w:tcBorders>
            <w:tcMar>
              <w:top w:w="55" w:type="dxa"/>
              <w:left w:w="55" w:type="dxa"/>
              <w:bottom w:w="55" w:type="dxa"/>
              <w:right w:w="55" w:type="dxa"/>
            </w:tcMar>
          </w:tcPr>
          <w:p w14:paraId="2F01E967" w14:textId="77777777" w:rsidR="00991F68" w:rsidRDefault="00933C0C">
            <w:pPr>
              <w:pStyle w:val="Textbody"/>
              <w:rPr>
                <w:b/>
                <w:bCs/>
              </w:rPr>
            </w:pPr>
            <w:r>
              <w:rPr>
                <w:b/>
                <w:bCs/>
              </w:rPr>
              <w:t xml:space="preserve">Layer 5 </w:t>
            </w:r>
            <w:r>
              <w:rPr>
                <w:b/>
                <w:bCs/>
              </w:rPr>
              <w:br/>
            </w:r>
            <w:r>
              <w:rPr>
                <w:b/>
                <w:bCs/>
              </w:rPr>
              <w:t>Consumer Experience Layer</w:t>
            </w:r>
          </w:p>
        </w:tc>
        <w:tc>
          <w:tcPr>
            <w:tcW w:w="6413"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01E968" w14:textId="77777777" w:rsidR="00991F68" w:rsidRDefault="00933C0C">
            <w:pPr>
              <w:pStyle w:val="Textbody"/>
            </w:pPr>
            <w:r>
              <w:t xml:space="preserve">Simple, automated propositions where consumers are rewarded for </w:t>
            </w:r>
            <w:r>
              <w:t>their flexibility through bill savings or direct payments, without needing to understand underlying market mechanisms.</w:t>
            </w:r>
          </w:p>
        </w:tc>
      </w:tr>
    </w:tbl>
    <w:p w14:paraId="2F01E96A" w14:textId="77777777" w:rsidR="00991F68" w:rsidRDefault="00933C0C">
      <w:pPr>
        <w:pStyle w:val="Textbody"/>
      </w:pPr>
      <w:r>
        <w:t xml:space="preserve">The </w:t>
      </w:r>
      <w:proofErr w:type="spellStart"/>
      <w:r>
        <w:t>EnergyOS</w:t>
      </w:r>
      <w:proofErr w:type="spellEnd"/>
      <w:r>
        <w:t xml:space="preserve"> stack cannot be implemented through voluntary industry collaboration alone. The UK requires a Central Independent Digital Delivery Body with the authority to mandate standards and interoperability across the stack, set architectural guardrails, operate a reference implementation of digital spine capabilities, enforce CNI-grade security, and be consumer-first in law and practice.</w:t>
      </w:r>
    </w:p>
    <w:p w14:paraId="2F01E96B" w14:textId="77777777" w:rsidR="00991F68" w:rsidRDefault="00933C0C">
      <w:pPr>
        <w:pStyle w:val="Textbody"/>
        <w:ind w:left="709"/>
        <w:rPr>
          <w:b/>
          <w:bCs/>
        </w:rPr>
      </w:pPr>
      <w:r>
        <w:rPr>
          <w:b/>
          <w:bCs/>
        </w:rPr>
        <w:t xml:space="preserve">Q6. What are your views on the Working with Local Authorities and </w:t>
      </w:r>
      <w:proofErr w:type="gramStart"/>
      <w:r>
        <w:rPr>
          <w:b/>
          <w:bCs/>
        </w:rPr>
        <w:t>others</w:t>
      </w:r>
      <w:proofErr w:type="gramEnd"/>
      <w:r>
        <w:rPr>
          <w:b/>
          <w:bCs/>
        </w:rPr>
        <w:t xml:space="preserve"> proposals we have set out above? What if any, would be the key elements of this? Are you aware of </w:t>
      </w:r>
      <w:proofErr w:type="gramStart"/>
      <w:r>
        <w:rPr>
          <w:b/>
          <w:bCs/>
        </w:rPr>
        <w:t>particular entities</w:t>
      </w:r>
      <w:proofErr w:type="gramEnd"/>
      <w:r>
        <w:rPr>
          <w:b/>
          <w:bCs/>
        </w:rPr>
        <w:t xml:space="preserve"> who would benefit from such advice?</w:t>
      </w:r>
    </w:p>
    <w:p w14:paraId="2F01E96C" w14:textId="77777777" w:rsidR="00991F68" w:rsidRDefault="00933C0C">
      <w:pPr>
        <w:pStyle w:val="Textbody"/>
      </w:pPr>
      <w:r>
        <w:t>In developing the NZTS model we have sought to identify potential roll-out models including a LA lead option.  These models are set out below.</w:t>
      </w:r>
    </w:p>
    <w:tbl>
      <w:tblPr>
        <w:tblW w:w="9750" w:type="dxa"/>
        <w:tblInd w:w="-108" w:type="dxa"/>
        <w:tblLayout w:type="fixed"/>
        <w:tblCellMar>
          <w:left w:w="10" w:type="dxa"/>
          <w:right w:w="10" w:type="dxa"/>
        </w:tblCellMar>
        <w:tblLook w:val="0000" w:firstRow="0" w:lastRow="0" w:firstColumn="0" w:lastColumn="0" w:noHBand="0" w:noVBand="0"/>
      </w:tblPr>
      <w:tblGrid>
        <w:gridCol w:w="1703"/>
        <w:gridCol w:w="2997"/>
        <w:gridCol w:w="2163"/>
        <w:gridCol w:w="2887"/>
      </w:tblGrid>
      <w:tr w:rsidR="00991F68" w14:paraId="2F01E971" w14:textId="77777777">
        <w:tblPrEx>
          <w:tblCellMar>
            <w:top w:w="0" w:type="dxa"/>
            <w:bottom w:w="0" w:type="dxa"/>
          </w:tblCellMar>
        </w:tblPrEx>
        <w:tc>
          <w:tcPr>
            <w:tcW w:w="1703" w:type="dxa"/>
            <w:tcBorders>
              <w:top w:val="single" w:sz="4" w:space="0" w:color="83CAEB"/>
              <w:left w:val="single" w:sz="4" w:space="0" w:color="83CAEB"/>
              <w:bottom w:val="single" w:sz="12" w:space="0" w:color="45B0E1"/>
              <w:right w:val="single" w:sz="4" w:space="0" w:color="83CAEB"/>
            </w:tcBorders>
            <w:tcMar>
              <w:top w:w="0" w:type="dxa"/>
              <w:left w:w="108" w:type="dxa"/>
              <w:bottom w:w="0" w:type="dxa"/>
              <w:right w:w="108" w:type="dxa"/>
            </w:tcMar>
          </w:tcPr>
          <w:p w14:paraId="2F01E96D" w14:textId="77777777" w:rsidR="00991F68" w:rsidRDefault="00933C0C">
            <w:pPr>
              <w:pStyle w:val="Standard"/>
              <w:spacing w:after="142"/>
            </w:pPr>
            <w:r>
              <w:rPr>
                <w:rFonts w:eastAsia="Aptos"/>
                <w:b/>
                <w:bCs/>
                <w:sz w:val="22"/>
                <w:szCs w:val="22"/>
                <w:lang w:eastAsia="en-US" w:bidi="ar-SA"/>
              </w:rPr>
              <w:t>Delivery Model</w:t>
            </w:r>
          </w:p>
        </w:tc>
        <w:tc>
          <w:tcPr>
            <w:tcW w:w="2997" w:type="dxa"/>
            <w:tcBorders>
              <w:top w:val="single" w:sz="4" w:space="0" w:color="83CAEB"/>
              <w:left w:val="single" w:sz="4" w:space="0" w:color="83CAEB"/>
              <w:bottom w:val="single" w:sz="12" w:space="0" w:color="45B0E1"/>
              <w:right w:val="single" w:sz="4" w:space="0" w:color="83CAEB"/>
            </w:tcBorders>
            <w:tcMar>
              <w:top w:w="0" w:type="dxa"/>
              <w:left w:w="108" w:type="dxa"/>
              <w:bottom w:w="0" w:type="dxa"/>
              <w:right w:w="108" w:type="dxa"/>
            </w:tcMar>
          </w:tcPr>
          <w:p w14:paraId="2F01E96E" w14:textId="77777777" w:rsidR="00991F68" w:rsidRDefault="00933C0C">
            <w:pPr>
              <w:pStyle w:val="Standard"/>
              <w:spacing w:after="142"/>
            </w:pPr>
            <w:r>
              <w:rPr>
                <w:rFonts w:eastAsia="Aptos"/>
                <w:b/>
                <w:bCs/>
                <w:sz w:val="22"/>
                <w:szCs w:val="22"/>
                <w:lang w:eastAsia="en-US" w:bidi="ar-SA"/>
              </w:rPr>
              <w:t>Ownership</w:t>
            </w:r>
          </w:p>
        </w:tc>
        <w:tc>
          <w:tcPr>
            <w:tcW w:w="2163" w:type="dxa"/>
            <w:tcBorders>
              <w:top w:val="single" w:sz="4" w:space="0" w:color="83CAEB"/>
              <w:left w:val="single" w:sz="4" w:space="0" w:color="83CAEB"/>
              <w:bottom w:val="single" w:sz="12" w:space="0" w:color="45B0E1"/>
              <w:right w:val="single" w:sz="4" w:space="0" w:color="83CAEB"/>
            </w:tcBorders>
            <w:tcMar>
              <w:top w:w="0" w:type="dxa"/>
              <w:left w:w="108" w:type="dxa"/>
              <w:bottom w:w="0" w:type="dxa"/>
              <w:right w:w="108" w:type="dxa"/>
            </w:tcMar>
          </w:tcPr>
          <w:p w14:paraId="2F01E96F" w14:textId="77777777" w:rsidR="00991F68" w:rsidRDefault="00933C0C">
            <w:pPr>
              <w:pStyle w:val="Standard"/>
              <w:spacing w:after="142"/>
            </w:pPr>
            <w:r>
              <w:rPr>
                <w:rFonts w:eastAsia="Aptos"/>
                <w:b/>
                <w:bCs/>
                <w:sz w:val="22"/>
                <w:szCs w:val="22"/>
                <w:lang w:eastAsia="en-US" w:bidi="ar-SA"/>
              </w:rPr>
              <w:t>Advantages</w:t>
            </w:r>
          </w:p>
        </w:tc>
        <w:tc>
          <w:tcPr>
            <w:tcW w:w="2887" w:type="dxa"/>
            <w:tcBorders>
              <w:top w:val="single" w:sz="4" w:space="0" w:color="83CAEB"/>
              <w:left w:val="single" w:sz="4" w:space="0" w:color="83CAEB"/>
              <w:bottom w:val="single" w:sz="12" w:space="0" w:color="45B0E1"/>
              <w:right w:val="single" w:sz="4" w:space="0" w:color="83CAEB"/>
            </w:tcBorders>
            <w:tcMar>
              <w:top w:w="0" w:type="dxa"/>
              <w:left w:w="108" w:type="dxa"/>
              <w:bottom w:w="0" w:type="dxa"/>
              <w:right w:w="108" w:type="dxa"/>
            </w:tcMar>
          </w:tcPr>
          <w:p w14:paraId="2F01E970" w14:textId="77777777" w:rsidR="00991F68" w:rsidRDefault="00933C0C">
            <w:pPr>
              <w:pStyle w:val="Standard"/>
              <w:spacing w:after="142"/>
            </w:pPr>
            <w:r>
              <w:rPr>
                <w:rFonts w:eastAsia="Aptos"/>
                <w:b/>
                <w:bCs/>
                <w:sz w:val="22"/>
                <w:szCs w:val="22"/>
                <w:lang w:eastAsia="en-US" w:bidi="ar-SA"/>
              </w:rPr>
              <w:t>Limitations</w:t>
            </w:r>
          </w:p>
        </w:tc>
      </w:tr>
      <w:tr w:rsidR="00991F68" w14:paraId="2F01E976" w14:textId="77777777">
        <w:tblPrEx>
          <w:tblCellMar>
            <w:top w:w="0" w:type="dxa"/>
            <w:bottom w:w="0" w:type="dxa"/>
          </w:tblCellMar>
        </w:tblPrEx>
        <w:tc>
          <w:tcPr>
            <w:tcW w:w="170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2" w14:textId="77777777" w:rsidR="00991F68" w:rsidRDefault="00933C0C">
            <w:pPr>
              <w:pStyle w:val="Standard"/>
              <w:spacing w:after="142"/>
            </w:pPr>
            <w:r>
              <w:rPr>
                <w:rFonts w:eastAsia="Aptos"/>
                <w:b/>
                <w:bCs/>
                <w:sz w:val="22"/>
                <w:szCs w:val="22"/>
                <w:lang w:eastAsia="en-US" w:bidi="ar-SA"/>
              </w:rPr>
              <w:t xml:space="preserve">Private </w:t>
            </w:r>
            <w:proofErr w:type="spellStart"/>
            <w:r>
              <w:rPr>
                <w:rFonts w:eastAsia="Aptos"/>
                <w:b/>
                <w:bCs/>
                <w:sz w:val="22"/>
                <w:szCs w:val="22"/>
                <w:lang w:eastAsia="en-US" w:bidi="ar-SA"/>
              </w:rPr>
              <w:t>ESCo</w:t>
            </w:r>
            <w:proofErr w:type="spellEnd"/>
            <w:r>
              <w:rPr>
                <w:rFonts w:eastAsia="Aptos"/>
                <w:b/>
                <w:bCs/>
                <w:sz w:val="22"/>
                <w:szCs w:val="22"/>
                <w:lang w:eastAsia="en-US" w:bidi="ar-SA"/>
              </w:rPr>
              <w:t xml:space="preserve"> Concession</w:t>
            </w:r>
          </w:p>
        </w:tc>
        <w:tc>
          <w:tcPr>
            <w:tcW w:w="299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3" w14:textId="77777777" w:rsidR="00991F68" w:rsidRDefault="00933C0C">
            <w:pPr>
              <w:pStyle w:val="Standard"/>
              <w:spacing w:after="142"/>
            </w:pPr>
            <w:r>
              <w:rPr>
                <w:rFonts w:eastAsia="Aptos"/>
                <w:sz w:val="22"/>
                <w:szCs w:val="22"/>
                <w:lang w:eastAsia="en-US" w:bidi="ar-SA"/>
              </w:rPr>
              <w:t>Private developer</w:t>
            </w:r>
          </w:p>
        </w:tc>
        <w:tc>
          <w:tcPr>
            <w:tcW w:w="216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4" w14:textId="77777777" w:rsidR="00991F68" w:rsidRDefault="00933C0C">
            <w:pPr>
              <w:pStyle w:val="Standard"/>
              <w:spacing w:after="142"/>
            </w:pPr>
            <w:r>
              <w:rPr>
                <w:rFonts w:eastAsia="Aptos"/>
                <w:sz w:val="22"/>
                <w:szCs w:val="22"/>
                <w:lang w:eastAsia="en-US" w:bidi="ar-SA"/>
              </w:rPr>
              <w:t xml:space="preserve">Access to capital and delivery </w:t>
            </w:r>
            <w:r>
              <w:rPr>
                <w:rFonts w:eastAsia="Aptos"/>
                <w:sz w:val="22"/>
                <w:szCs w:val="22"/>
                <w:lang w:eastAsia="en-US" w:bidi="ar-SA"/>
              </w:rPr>
              <w:t>expertise</w:t>
            </w:r>
          </w:p>
        </w:tc>
        <w:tc>
          <w:tcPr>
            <w:tcW w:w="288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5" w14:textId="77777777" w:rsidR="00991F68" w:rsidRDefault="00933C0C">
            <w:pPr>
              <w:pStyle w:val="Standard"/>
              <w:spacing w:after="142"/>
            </w:pPr>
            <w:r>
              <w:rPr>
                <w:rFonts w:eastAsia="Aptos"/>
                <w:sz w:val="22"/>
                <w:szCs w:val="22"/>
                <w:lang w:eastAsia="en-US" w:bidi="ar-SA"/>
              </w:rPr>
              <w:t>Limited community control</w:t>
            </w:r>
          </w:p>
        </w:tc>
      </w:tr>
      <w:tr w:rsidR="00991F68" w14:paraId="2F01E97B" w14:textId="77777777">
        <w:tblPrEx>
          <w:tblCellMar>
            <w:top w:w="0" w:type="dxa"/>
            <w:bottom w:w="0" w:type="dxa"/>
          </w:tblCellMar>
        </w:tblPrEx>
        <w:tc>
          <w:tcPr>
            <w:tcW w:w="170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7" w14:textId="77777777" w:rsidR="00991F68" w:rsidRDefault="00933C0C">
            <w:pPr>
              <w:pStyle w:val="Standard"/>
              <w:spacing w:after="142"/>
            </w:pPr>
            <w:r>
              <w:rPr>
                <w:rFonts w:eastAsia="Aptos"/>
                <w:b/>
                <w:bCs/>
                <w:sz w:val="22"/>
                <w:szCs w:val="22"/>
                <w:lang w:eastAsia="en-US" w:bidi="ar-SA"/>
              </w:rPr>
              <w:t>Local Authority Utility</w:t>
            </w:r>
          </w:p>
        </w:tc>
        <w:tc>
          <w:tcPr>
            <w:tcW w:w="299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8" w14:textId="77777777" w:rsidR="00991F68" w:rsidRDefault="00933C0C">
            <w:pPr>
              <w:pStyle w:val="Standard"/>
              <w:spacing w:after="142"/>
            </w:pPr>
            <w:r>
              <w:rPr>
                <w:rFonts w:eastAsia="Aptos"/>
                <w:sz w:val="22"/>
                <w:szCs w:val="22"/>
                <w:lang w:eastAsia="en-US" w:bidi="ar-SA"/>
              </w:rPr>
              <w:t>Council-owned</w:t>
            </w:r>
          </w:p>
        </w:tc>
        <w:tc>
          <w:tcPr>
            <w:tcW w:w="216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9" w14:textId="77777777" w:rsidR="00991F68" w:rsidRDefault="00933C0C">
            <w:pPr>
              <w:pStyle w:val="Standard"/>
              <w:spacing w:after="142"/>
            </w:pPr>
            <w:r>
              <w:rPr>
                <w:rFonts w:eastAsia="Aptos"/>
                <w:sz w:val="22"/>
                <w:szCs w:val="22"/>
                <w:lang w:eastAsia="en-US" w:bidi="ar-SA"/>
              </w:rPr>
              <w:t>Public control over pricing</w:t>
            </w:r>
          </w:p>
        </w:tc>
        <w:tc>
          <w:tcPr>
            <w:tcW w:w="288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A" w14:textId="77777777" w:rsidR="00991F68" w:rsidRDefault="00933C0C">
            <w:pPr>
              <w:pStyle w:val="Standard"/>
              <w:spacing w:after="142"/>
            </w:pPr>
            <w:r>
              <w:rPr>
                <w:rFonts w:eastAsia="Aptos"/>
                <w:sz w:val="22"/>
                <w:szCs w:val="22"/>
                <w:lang w:eastAsia="en-US" w:bidi="ar-SA"/>
              </w:rPr>
              <w:t>Financial and operational risk to council</w:t>
            </w:r>
          </w:p>
        </w:tc>
      </w:tr>
      <w:tr w:rsidR="00991F68" w14:paraId="2F01E980" w14:textId="77777777">
        <w:tblPrEx>
          <w:tblCellMar>
            <w:top w:w="0" w:type="dxa"/>
            <w:bottom w:w="0" w:type="dxa"/>
          </w:tblCellMar>
        </w:tblPrEx>
        <w:tc>
          <w:tcPr>
            <w:tcW w:w="170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C" w14:textId="77777777" w:rsidR="00991F68" w:rsidRDefault="00933C0C">
            <w:pPr>
              <w:pStyle w:val="Standard"/>
              <w:spacing w:after="142"/>
            </w:pPr>
            <w:r>
              <w:rPr>
                <w:rFonts w:eastAsia="Aptos"/>
                <w:b/>
                <w:bCs/>
                <w:sz w:val="22"/>
                <w:szCs w:val="22"/>
                <w:lang w:eastAsia="en-US" w:bidi="ar-SA"/>
              </w:rPr>
              <w:t>Community Energy Model</w:t>
            </w:r>
          </w:p>
        </w:tc>
        <w:tc>
          <w:tcPr>
            <w:tcW w:w="299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D" w14:textId="77777777" w:rsidR="00991F68" w:rsidRDefault="00933C0C">
            <w:pPr>
              <w:pStyle w:val="Standard"/>
              <w:spacing w:after="142"/>
            </w:pPr>
            <w:r>
              <w:rPr>
                <w:rFonts w:eastAsia="Aptos"/>
                <w:sz w:val="22"/>
                <w:szCs w:val="22"/>
                <w:lang w:eastAsia="en-US" w:bidi="ar-SA"/>
              </w:rPr>
              <w:t>Community organisation</w:t>
            </w:r>
          </w:p>
        </w:tc>
        <w:tc>
          <w:tcPr>
            <w:tcW w:w="216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E" w14:textId="77777777" w:rsidR="00991F68" w:rsidRDefault="00933C0C">
            <w:pPr>
              <w:pStyle w:val="Standard"/>
              <w:spacing w:after="142"/>
            </w:pPr>
            <w:r>
              <w:rPr>
                <w:rFonts w:eastAsia="Aptos"/>
                <w:sz w:val="22"/>
                <w:szCs w:val="22"/>
                <w:lang w:eastAsia="en-US" w:bidi="ar-SA"/>
              </w:rPr>
              <w:t>Strong local participation</w:t>
            </w:r>
          </w:p>
        </w:tc>
        <w:tc>
          <w:tcPr>
            <w:tcW w:w="288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7F" w14:textId="77777777" w:rsidR="00991F68" w:rsidRDefault="00933C0C">
            <w:pPr>
              <w:pStyle w:val="Standard"/>
              <w:spacing w:after="142"/>
            </w:pPr>
            <w:r>
              <w:rPr>
                <w:rFonts w:eastAsia="Aptos"/>
                <w:sz w:val="22"/>
                <w:szCs w:val="22"/>
                <w:lang w:eastAsia="en-US" w:bidi="ar-SA"/>
              </w:rPr>
              <w:t>Limited capital capacity</w:t>
            </w:r>
          </w:p>
        </w:tc>
      </w:tr>
      <w:tr w:rsidR="00991F68" w14:paraId="2F01E985" w14:textId="77777777">
        <w:tblPrEx>
          <w:tblCellMar>
            <w:top w:w="0" w:type="dxa"/>
            <w:bottom w:w="0" w:type="dxa"/>
          </w:tblCellMar>
        </w:tblPrEx>
        <w:tc>
          <w:tcPr>
            <w:tcW w:w="170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81" w14:textId="77777777" w:rsidR="00991F68" w:rsidRDefault="00933C0C">
            <w:pPr>
              <w:pStyle w:val="Standard"/>
              <w:spacing w:after="142"/>
            </w:pPr>
            <w:r>
              <w:rPr>
                <w:rFonts w:eastAsia="Aptos"/>
                <w:b/>
                <w:bCs/>
                <w:sz w:val="22"/>
                <w:szCs w:val="22"/>
                <w:lang w:eastAsia="en-US" w:bidi="ar-SA"/>
              </w:rPr>
              <w:t xml:space="preserve">Hybrid </w:t>
            </w:r>
            <w:proofErr w:type="spellStart"/>
            <w:r>
              <w:rPr>
                <w:rFonts w:eastAsia="Aptos"/>
                <w:b/>
                <w:bCs/>
                <w:sz w:val="22"/>
                <w:szCs w:val="22"/>
                <w:lang w:eastAsia="en-US" w:bidi="ar-SA"/>
              </w:rPr>
              <w:t>AssetCo</w:t>
            </w:r>
            <w:proofErr w:type="spellEnd"/>
            <w:r>
              <w:rPr>
                <w:rFonts w:eastAsia="Aptos"/>
                <w:b/>
                <w:bCs/>
                <w:sz w:val="22"/>
                <w:szCs w:val="22"/>
                <w:lang w:eastAsia="en-US" w:bidi="ar-SA"/>
              </w:rPr>
              <w:t xml:space="preserve"> Model</w:t>
            </w:r>
          </w:p>
        </w:tc>
        <w:tc>
          <w:tcPr>
            <w:tcW w:w="299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82" w14:textId="77777777" w:rsidR="00991F68" w:rsidRDefault="00933C0C">
            <w:pPr>
              <w:pStyle w:val="Standard"/>
              <w:spacing w:after="142"/>
            </w:pPr>
            <w:r>
              <w:rPr>
                <w:rFonts w:eastAsia="Aptos"/>
                <w:sz w:val="22"/>
                <w:szCs w:val="22"/>
                <w:lang w:eastAsia="en-US" w:bidi="ar-SA"/>
              </w:rPr>
              <w:t>Infrastructure SPV with public/community governance</w:t>
            </w:r>
          </w:p>
        </w:tc>
        <w:tc>
          <w:tcPr>
            <w:tcW w:w="2163"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83" w14:textId="77777777" w:rsidR="00991F68" w:rsidRDefault="00933C0C">
            <w:pPr>
              <w:pStyle w:val="Standard"/>
              <w:spacing w:after="142"/>
            </w:pPr>
            <w:r>
              <w:rPr>
                <w:rFonts w:eastAsia="Aptos"/>
                <w:sz w:val="22"/>
                <w:szCs w:val="22"/>
                <w:lang w:eastAsia="en-US" w:bidi="ar-SA"/>
              </w:rPr>
              <w:t>Investable structure with community safeguards</w:t>
            </w:r>
          </w:p>
        </w:tc>
        <w:tc>
          <w:tcPr>
            <w:tcW w:w="2887" w:type="dxa"/>
            <w:tcBorders>
              <w:top w:val="single" w:sz="4" w:space="0" w:color="83CAEB"/>
              <w:left w:val="single" w:sz="4" w:space="0" w:color="83CAEB"/>
              <w:bottom w:val="single" w:sz="4" w:space="0" w:color="83CAEB"/>
              <w:right w:val="single" w:sz="4" w:space="0" w:color="83CAEB"/>
            </w:tcBorders>
            <w:tcMar>
              <w:top w:w="0" w:type="dxa"/>
              <w:left w:w="108" w:type="dxa"/>
              <w:bottom w:w="0" w:type="dxa"/>
              <w:right w:w="108" w:type="dxa"/>
            </w:tcMar>
          </w:tcPr>
          <w:p w14:paraId="2F01E984" w14:textId="77777777" w:rsidR="00991F68" w:rsidRDefault="00933C0C">
            <w:pPr>
              <w:pStyle w:val="Standard"/>
              <w:spacing w:after="142"/>
            </w:pPr>
            <w:r>
              <w:rPr>
                <w:rFonts w:eastAsia="Aptos"/>
                <w:sz w:val="22"/>
                <w:szCs w:val="22"/>
                <w:lang w:eastAsia="en-US" w:bidi="ar-SA"/>
              </w:rPr>
              <w:t>Requires governance design</w:t>
            </w:r>
          </w:p>
        </w:tc>
      </w:tr>
    </w:tbl>
    <w:p w14:paraId="2F01E986" w14:textId="77777777" w:rsidR="00991F68" w:rsidRDefault="00933C0C">
      <w:pPr>
        <w:pStyle w:val="Textbody"/>
        <w:rPr>
          <w:b/>
          <w:bCs/>
        </w:rPr>
      </w:pPr>
      <w:r>
        <w:rPr>
          <w:b/>
          <w:bCs/>
        </w:rPr>
        <w:t>Private Developer Concession Model</w:t>
      </w:r>
    </w:p>
    <w:p w14:paraId="2F01E987" w14:textId="77777777" w:rsidR="00991F68" w:rsidRDefault="00933C0C">
      <w:pPr>
        <w:pStyle w:val="Textbody"/>
      </w:pPr>
      <w:r>
        <w:lastRenderedPageBreak/>
        <w:t>Under this model, a private energy services company (</w:t>
      </w:r>
      <w:proofErr w:type="spellStart"/>
      <w:r>
        <w:t>ESCo</w:t>
      </w:r>
      <w:proofErr w:type="spellEnd"/>
      <w:r>
        <w:t>) designs, finances, builds and operates the heat network under a long-term concession agreement. The developer typically recovers its investment through heat tariffs paid by customers over the life of the contract.</w:t>
      </w:r>
    </w:p>
    <w:p w14:paraId="2F01E988" w14:textId="77777777" w:rsidR="00991F68" w:rsidRDefault="00933C0C">
      <w:pPr>
        <w:pStyle w:val="Textbody"/>
      </w:pPr>
      <w:r>
        <w:t>Advantages</w:t>
      </w:r>
    </w:p>
    <w:p w14:paraId="2F01E989" w14:textId="77777777" w:rsidR="00991F68" w:rsidRDefault="00933C0C">
      <w:pPr>
        <w:pStyle w:val="Textbody"/>
        <w:numPr>
          <w:ilvl w:val="0"/>
          <w:numId w:val="2"/>
        </w:numPr>
      </w:pPr>
      <w:r>
        <w:t>Access to private capital and technical delivery expertise</w:t>
      </w:r>
    </w:p>
    <w:p w14:paraId="2F01E98A" w14:textId="77777777" w:rsidR="00991F68" w:rsidRDefault="00933C0C">
      <w:pPr>
        <w:pStyle w:val="Textbody"/>
        <w:numPr>
          <w:ilvl w:val="0"/>
          <w:numId w:val="2"/>
        </w:numPr>
      </w:pPr>
      <w:r>
        <w:t>Reduced upfront capital requirements for the local authority</w:t>
      </w:r>
    </w:p>
    <w:p w14:paraId="2F01E98B" w14:textId="77777777" w:rsidR="00991F68" w:rsidRDefault="00933C0C">
      <w:pPr>
        <w:pStyle w:val="Textbody"/>
        <w:numPr>
          <w:ilvl w:val="0"/>
          <w:numId w:val="2"/>
        </w:numPr>
      </w:pPr>
      <w:r>
        <w:t>Clear single-party responsibility for system delivery and operation</w:t>
      </w:r>
    </w:p>
    <w:p w14:paraId="2F01E98C" w14:textId="77777777" w:rsidR="00991F68" w:rsidRDefault="00933C0C">
      <w:pPr>
        <w:pStyle w:val="Textbody"/>
      </w:pPr>
      <w:r>
        <w:t>Challenges</w:t>
      </w:r>
    </w:p>
    <w:p w14:paraId="2F01E98D" w14:textId="77777777" w:rsidR="00991F68" w:rsidRDefault="00933C0C">
      <w:pPr>
        <w:pStyle w:val="Textbody"/>
        <w:numPr>
          <w:ilvl w:val="0"/>
          <w:numId w:val="3"/>
        </w:numPr>
      </w:pPr>
      <w:r>
        <w:t>Long-term tariff structures may prioritise investor returns over affordability</w:t>
      </w:r>
    </w:p>
    <w:p w14:paraId="2F01E98E" w14:textId="77777777" w:rsidR="00991F68" w:rsidRDefault="00933C0C">
      <w:pPr>
        <w:pStyle w:val="Textbody"/>
        <w:numPr>
          <w:ilvl w:val="0"/>
          <w:numId w:val="3"/>
        </w:numPr>
      </w:pPr>
      <w:r>
        <w:t xml:space="preserve">Limited </w:t>
      </w:r>
      <w:r>
        <w:t>community participation in governance</w:t>
      </w:r>
    </w:p>
    <w:p w14:paraId="2F01E98F" w14:textId="77777777" w:rsidR="00991F68" w:rsidRDefault="00933C0C">
      <w:pPr>
        <w:pStyle w:val="Textbody"/>
        <w:numPr>
          <w:ilvl w:val="0"/>
          <w:numId w:val="3"/>
        </w:numPr>
      </w:pPr>
      <w:r>
        <w:t>Reduced local control over system evolution and pricing</w:t>
      </w:r>
    </w:p>
    <w:p w14:paraId="2F01E990" w14:textId="77777777" w:rsidR="00991F68" w:rsidRDefault="00933C0C">
      <w:pPr>
        <w:pStyle w:val="Textbody"/>
        <w:rPr>
          <w:b/>
          <w:bCs/>
        </w:rPr>
      </w:pPr>
      <w:r>
        <w:rPr>
          <w:b/>
          <w:bCs/>
        </w:rPr>
        <w:t>Local Authority Owned Utility Model</w:t>
      </w:r>
    </w:p>
    <w:p w14:paraId="2F01E991" w14:textId="77777777" w:rsidR="00991F68" w:rsidRDefault="00933C0C">
      <w:pPr>
        <w:pStyle w:val="Textbody"/>
      </w:pPr>
      <w:r>
        <w:t>In this model, the local authority owns and operates the infrastructure directly, either through a municipal energy company or through internal management structures.</w:t>
      </w:r>
    </w:p>
    <w:p w14:paraId="2F01E992" w14:textId="77777777" w:rsidR="00991F68" w:rsidRDefault="00933C0C">
      <w:pPr>
        <w:pStyle w:val="Textbody"/>
      </w:pPr>
      <w:r>
        <w:t>Advantages</w:t>
      </w:r>
    </w:p>
    <w:p w14:paraId="2F01E993" w14:textId="77777777" w:rsidR="00991F68" w:rsidRDefault="00933C0C">
      <w:pPr>
        <w:pStyle w:val="Textbody"/>
        <w:numPr>
          <w:ilvl w:val="0"/>
          <w:numId w:val="4"/>
        </w:numPr>
      </w:pPr>
      <w:r>
        <w:t>Strong public control over pricing and service standards</w:t>
      </w:r>
    </w:p>
    <w:p w14:paraId="2F01E994" w14:textId="77777777" w:rsidR="00991F68" w:rsidRDefault="00933C0C">
      <w:pPr>
        <w:pStyle w:val="Textbody"/>
        <w:numPr>
          <w:ilvl w:val="0"/>
          <w:numId w:val="4"/>
        </w:numPr>
      </w:pPr>
      <w:r>
        <w:t>Alignment with wider public policy goals such as fuel poverty reduction</w:t>
      </w:r>
    </w:p>
    <w:p w14:paraId="2F01E995" w14:textId="77777777" w:rsidR="00991F68" w:rsidRDefault="00933C0C">
      <w:pPr>
        <w:pStyle w:val="Textbody"/>
        <w:numPr>
          <w:ilvl w:val="0"/>
          <w:numId w:val="4"/>
        </w:numPr>
      </w:pPr>
      <w:r>
        <w:t>Ability to integrate energy infrastructure with broader regeneration programmes</w:t>
      </w:r>
    </w:p>
    <w:p w14:paraId="2F01E996" w14:textId="77777777" w:rsidR="00991F68" w:rsidRDefault="00933C0C">
      <w:pPr>
        <w:pStyle w:val="Textbody"/>
      </w:pPr>
      <w:r>
        <w:t>Challenges</w:t>
      </w:r>
    </w:p>
    <w:p w14:paraId="2F01E997" w14:textId="77777777" w:rsidR="00991F68" w:rsidRDefault="00933C0C">
      <w:pPr>
        <w:pStyle w:val="Textbody"/>
        <w:numPr>
          <w:ilvl w:val="0"/>
          <w:numId w:val="5"/>
        </w:numPr>
      </w:pPr>
      <w:r>
        <w:t>Requires significant capital investment from the local authority</w:t>
      </w:r>
    </w:p>
    <w:p w14:paraId="2F01E998" w14:textId="77777777" w:rsidR="00991F68" w:rsidRDefault="00933C0C">
      <w:pPr>
        <w:pStyle w:val="Textbody"/>
        <w:numPr>
          <w:ilvl w:val="0"/>
          <w:numId w:val="5"/>
        </w:numPr>
      </w:pPr>
      <w:r>
        <w:t>Operational risk sits on the public balance sheet</w:t>
      </w:r>
    </w:p>
    <w:p w14:paraId="2F01E999" w14:textId="77777777" w:rsidR="00991F68" w:rsidRDefault="00933C0C">
      <w:pPr>
        <w:pStyle w:val="Textbody"/>
        <w:numPr>
          <w:ilvl w:val="0"/>
          <w:numId w:val="5"/>
        </w:numPr>
      </w:pPr>
      <w:r>
        <w:t>Requires technical and commercial capability to operate energy systems long-term</w:t>
      </w:r>
    </w:p>
    <w:p w14:paraId="2F01E99A" w14:textId="77777777" w:rsidR="00991F68" w:rsidRDefault="00933C0C">
      <w:pPr>
        <w:pStyle w:val="Textbody"/>
      </w:pPr>
      <w:r>
        <w:rPr>
          <w:b/>
          <w:bCs/>
        </w:rPr>
        <w:t>Community Energy Ownership Model</w:t>
      </w:r>
    </w:p>
    <w:p w14:paraId="2F01E99B" w14:textId="77777777" w:rsidR="00991F68" w:rsidRDefault="00933C0C">
      <w:pPr>
        <w:pStyle w:val="Textbody"/>
      </w:pPr>
      <w:r>
        <w:t>Community energy organisation develops and operates energy assets and small-scale heat network, using cooperative ownership structures.</w:t>
      </w:r>
    </w:p>
    <w:p w14:paraId="2F01E99C" w14:textId="77777777" w:rsidR="00991F68" w:rsidRDefault="00933C0C">
      <w:pPr>
        <w:pStyle w:val="Textbody"/>
      </w:pPr>
      <w:r>
        <w:t>Advantages</w:t>
      </w:r>
    </w:p>
    <w:p w14:paraId="2F01E99D" w14:textId="77777777" w:rsidR="00991F68" w:rsidRDefault="00933C0C">
      <w:pPr>
        <w:pStyle w:val="Textbody"/>
        <w:numPr>
          <w:ilvl w:val="0"/>
          <w:numId w:val="6"/>
        </w:numPr>
      </w:pPr>
      <w:r>
        <w:t>Strong local participation and community benefit</w:t>
      </w:r>
    </w:p>
    <w:p w14:paraId="2F01E99E" w14:textId="77777777" w:rsidR="00991F68" w:rsidRDefault="00933C0C">
      <w:pPr>
        <w:pStyle w:val="Textbody"/>
        <w:numPr>
          <w:ilvl w:val="0"/>
          <w:numId w:val="6"/>
        </w:numPr>
      </w:pPr>
      <w:r>
        <w:t>High levels of local trust and engagement</w:t>
      </w:r>
    </w:p>
    <w:p w14:paraId="2F01E99F" w14:textId="77777777" w:rsidR="00991F68" w:rsidRDefault="00933C0C">
      <w:pPr>
        <w:pStyle w:val="Textbody"/>
        <w:numPr>
          <w:ilvl w:val="0"/>
          <w:numId w:val="6"/>
        </w:numPr>
      </w:pPr>
      <w:r>
        <w:t>Revenues can be reinvested locally</w:t>
      </w:r>
    </w:p>
    <w:p w14:paraId="2F01E9A0" w14:textId="77777777" w:rsidR="00991F68" w:rsidRDefault="00933C0C">
      <w:pPr>
        <w:pStyle w:val="Textbody"/>
      </w:pPr>
      <w:r>
        <w:t>Challenges</w:t>
      </w:r>
    </w:p>
    <w:p w14:paraId="2F01E9A1" w14:textId="77777777" w:rsidR="00991F68" w:rsidRDefault="00933C0C">
      <w:pPr>
        <w:pStyle w:val="Textbody"/>
        <w:numPr>
          <w:ilvl w:val="0"/>
          <w:numId w:val="7"/>
        </w:numPr>
      </w:pPr>
      <w:r>
        <w:t>Limited access to large-scale infrastructure finance</w:t>
      </w:r>
    </w:p>
    <w:p w14:paraId="2F01E9A2" w14:textId="77777777" w:rsidR="00991F68" w:rsidRDefault="00933C0C">
      <w:pPr>
        <w:pStyle w:val="Textbody"/>
        <w:numPr>
          <w:ilvl w:val="0"/>
          <w:numId w:val="7"/>
        </w:numPr>
      </w:pPr>
      <w:r>
        <w:t>Delivery capability may be constrained for complex infrastructure projects</w:t>
      </w:r>
    </w:p>
    <w:p w14:paraId="2F01E9A3" w14:textId="77777777" w:rsidR="00991F68" w:rsidRDefault="00933C0C">
      <w:pPr>
        <w:pStyle w:val="Textbody"/>
        <w:numPr>
          <w:ilvl w:val="0"/>
          <w:numId w:val="7"/>
        </w:numPr>
      </w:pPr>
      <w:r>
        <w:lastRenderedPageBreak/>
        <w:t>Governance and operational responsibilities can become demanding for Community-led organisations</w:t>
      </w:r>
    </w:p>
    <w:p w14:paraId="2F01E9A4" w14:textId="77777777" w:rsidR="00991F68" w:rsidRDefault="00933C0C">
      <w:pPr>
        <w:pStyle w:val="Textbody"/>
        <w:rPr>
          <w:b/>
          <w:bCs/>
        </w:rPr>
      </w:pPr>
      <w:r>
        <w:rPr>
          <w:b/>
          <w:bCs/>
        </w:rPr>
        <w:t xml:space="preserve">Hybrid </w:t>
      </w:r>
      <w:r>
        <w:rPr>
          <w:b/>
          <w:bCs/>
        </w:rPr>
        <w:t xml:space="preserve">Infrastructure Model (NZTS type </w:t>
      </w:r>
      <w:proofErr w:type="spellStart"/>
      <w:r>
        <w:rPr>
          <w:b/>
          <w:bCs/>
        </w:rPr>
        <w:t>AssetCo</w:t>
      </w:r>
      <w:proofErr w:type="spellEnd"/>
      <w:r>
        <w:rPr>
          <w:b/>
          <w:bCs/>
        </w:rPr>
        <w:t>)</w:t>
      </w:r>
    </w:p>
    <w:p w14:paraId="2F01E9A5" w14:textId="77777777" w:rsidR="00991F68" w:rsidRDefault="00933C0C">
      <w:pPr>
        <w:pStyle w:val="Textbody"/>
      </w:pPr>
      <w:r>
        <w:t xml:space="preserve">This is a hybrid structure that combines infrastructure investment with community and public sector oversight. Under this model, infrastructure assets are owned by a dedicated </w:t>
      </w:r>
      <w:proofErr w:type="spellStart"/>
      <w:r>
        <w:t>AssetCo</w:t>
      </w:r>
      <w:proofErr w:type="spellEnd"/>
      <w:r>
        <w:t xml:space="preserve"> which raises </w:t>
      </w:r>
      <w:r>
        <w:t>investment capital and manages the long-term operation of the system. Local partners, including the local authority, delivery organisations and community representatives, participate in governance structures that ensure the system operates in the public interest.</w:t>
      </w:r>
    </w:p>
    <w:p w14:paraId="2F01E9A6" w14:textId="77777777" w:rsidR="00991F68" w:rsidRDefault="00933C0C">
      <w:pPr>
        <w:pStyle w:val="Textbody"/>
      </w:pPr>
      <w:r>
        <w:t>Advantages</w:t>
      </w:r>
    </w:p>
    <w:p w14:paraId="2F01E9A7" w14:textId="77777777" w:rsidR="00991F68" w:rsidRDefault="00933C0C">
      <w:pPr>
        <w:pStyle w:val="Textbody"/>
        <w:numPr>
          <w:ilvl w:val="0"/>
          <w:numId w:val="8"/>
        </w:numPr>
      </w:pPr>
      <w:r>
        <w:t>Ability to attract infrastructure-style investment</w:t>
      </w:r>
    </w:p>
    <w:p w14:paraId="2F01E9A8" w14:textId="77777777" w:rsidR="00991F68" w:rsidRDefault="00933C0C">
      <w:pPr>
        <w:pStyle w:val="Textbody"/>
        <w:numPr>
          <w:ilvl w:val="0"/>
          <w:numId w:val="8"/>
        </w:numPr>
      </w:pPr>
      <w:r>
        <w:t>Clear asset ownership and long-term operational framework</w:t>
      </w:r>
    </w:p>
    <w:p w14:paraId="2F01E9A9" w14:textId="77777777" w:rsidR="00991F68" w:rsidRDefault="00933C0C">
      <w:pPr>
        <w:pStyle w:val="Textbody"/>
        <w:numPr>
          <w:ilvl w:val="0"/>
          <w:numId w:val="8"/>
        </w:numPr>
      </w:pPr>
      <w:r>
        <w:t>Opportunity to embed community governance protections</w:t>
      </w:r>
    </w:p>
    <w:p w14:paraId="2F01E9AA" w14:textId="77777777" w:rsidR="00991F68" w:rsidRDefault="00933C0C">
      <w:pPr>
        <w:pStyle w:val="Textbody"/>
        <w:numPr>
          <w:ilvl w:val="0"/>
          <w:numId w:val="8"/>
        </w:numPr>
      </w:pPr>
      <w:r>
        <w:t>Flexibility to integrate multiple energy assets (heat, solar, storage)</w:t>
      </w:r>
    </w:p>
    <w:p w14:paraId="2F01E9AB" w14:textId="77777777" w:rsidR="00991F68" w:rsidRDefault="00933C0C">
      <w:pPr>
        <w:pStyle w:val="Textbody"/>
      </w:pPr>
      <w:r>
        <w:t>Challenges</w:t>
      </w:r>
    </w:p>
    <w:p w14:paraId="2F01E9AC" w14:textId="77777777" w:rsidR="00991F68" w:rsidRDefault="00933C0C">
      <w:pPr>
        <w:pStyle w:val="Textbody"/>
        <w:numPr>
          <w:ilvl w:val="0"/>
          <w:numId w:val="9"/>
        </w:numPr>
      </w:pPr>
      <w:r>
        <w:t>Requires careful governance design to balance investor and community interests</w:t>
      </w:r>
    </w:p>
    <w:p w14:paraId="2F01E9AD" w14:textId="77777777" w:rsidR="00991F68" w:rsidRDefault="00933C0C">
      <w:pPr>
        <w:pStyle w:val="Textbody"/>
        <w:numPr>
          <w:ilvl w:val="0"/>
          <w:numId w:val="9"/>
        </w:numPr>
      </w:pPr>
      <w:r>
        <w:t>Early-stage projects may still require public funding support</w:t>
      </w:r>
    </w:p>
    <w:p w14:paraId="2F01E9AE" w14:textId="77777777" w:rsidR="00991F68" w:rsidRDefault="00933C0C">
      <w:pPr>
        <w:pStyle w:val="Textbody"/>
        <w:ind w:left="709"/>
      </w:pPr>
      <w:r>
        <w:rPr>
          <w:b/>
          <w:bCs/>
        </w:rPr>
        <w:t xml:space="preserve">Q7. How could </w:t>
      </w:r>
      <w:proofErr w:type="spellStart"/>
      <w:r>
        <w:rPr>
          <w:b/>
          <w:bCs/>
        </w:rPr>
        <w:t>iDNOs</w:t>
      </w:r>
      <w:proofErr w:type="spellEnd"/>
      <w:r>
        <w:rPr>
          <w:b/>
          <w:bCs/>
        </w:rPr>
        <w:t xml:space="preserve"> support the proposals in this portion of the consultation? How could either private wire connected properties or license-exempt networks feature in these proposals?</w:t>
      </w:r>
    </w:p>
    <w:p w14:paraId="2F01E9AF" w14:textId="77777777" w:rsidR="00991F68" w:rsidRDefault="00933C0C">
      <w:pPr>
        <w:pStyle w:val="Textbody"/>
      </w:pPr>
      <w:r>
        <w:t>No Comment</w:t>
      </w:r>
    </w:p>
    <w:p w14:paraId="2F01E9B0" w14:textId="77777777" w:rsidR="00991F68" w:rsidRDefault="00991F68">
      <w:pPr>
        <w:pStyle w:val="Textbody"/>
      </w:pPr>
    </w:p>
    <w:p w14:paraId="2F01E9B1" w14:textId="77777777" w:rsidR="00991F68" w:rsidRDefault="00933C0C">
      <w:pPr>
        <w:pStyle w:val="Textbody"/>
        <w:ind w:left="709"/>
        <w:rPr>
          <w:b/>
          <w:bCs/>
        </w:rPr>
      </w:pPr>
      <w:r>
        <w:rPr>
          <w:b/>
          <w:bCs/>
        </w:rPr>
        <w:t>Q8. We are keen to understand how these proposed Enhanced Co-ordination activities could best integrate with NESO's RESP processes in the near and long term, and how these proposals could complement, or be in tension with, RESP development?</w:t>
      </w:r>
    </w:p>
    <w:p w14:paraId="2F01E9B2" w14:textId="77777777" w:rsidR="00991F68" w:rsidRDefault="00933C0C">
      <w:pPr>
        <w:pStyle w:val="Textbody"/>
      </w:pPr>
      <w:r>
        <w:t>The UK's flexibility market is not yet delivering at the scale required. Despite growth in DSR participation, demand-side flexibility remains under-represented in national balancing markets. Community energy organisations are uniquely positioned to solve these structural problems.</w:t>
      </w:r>
    </w:p>
    <w:p w14:paraId="2F01E9B3" w14:textId="77777777" w:rsidR="00991F68" w:rsidRDefault="00933C0C">
      <w:pPr>
        <w:pStyle w:val="Textbody"/>
        <w:rPr>
          <w:b/>
          <w:bCs/>
        </w:rPr>
      </w:pPr>
      <w:r>
        <w:rPr>
          <w:b/>
          <w:bCs/>
        </w:rPr>
        <w:t>Aggregation at Scale</w:t>
      </w:r>
    </w:p>
    <w:p w14:paraId="2F01E9B4" w14:textId="77777777" w:rsidR="00991F68" w:rsidRDefault="00933C0C">
      <w:pPr>
        <w:pStyle w:val="Textbody"/>
      </w:pPr>
      <w:r>
        <w:t>A single heat pump or battery is too small to participate directly in most flexibility markets. But a community energy club aggregating 500 homes — each with a heat pump and battery — represents a 2–5 MW flexible resource, large enough to participate in DSO local markets and, with P474/P483, in national balancing markets.</w:t>
      </w:r>
    </w:p>
    <w:p w14:paraId="2F01E9B5" w14:textId="77777777" w:rsidR="00991F68" w:rsidRDefault="00933C0C">
      <w:pPr>
        <w:pStyle w:val="Textbody"/>
        <w:rPr>
          <w:b/>
          <w:bCs/>
        </w:rPr>
      </w:pPr>
      <w:r>
        <w:rPr>
          <w:b/>
          <w:bCs/>
        </w:rPr>
        <w:t>Stacking Multiple Revenue Streams</w:t>
      </w:r>
    </w:p>
    <w:p w14:paraId="2F01E9B6" w14:textId="77777777" w:rsidR="00991F68" w:rsidRDefault="00933C0C">
      <w:pPr>
        <w:pStyle w:val="Textbody"/>
      </w:pPr>
      <w:r>
        <w:t xml:space="preserve">A community SLES can simultaneously provide local DSO constraint management, national DFS balancing, and wholesale market arbitrage through battery storage. This "revenue stacking" is </w:t>
      </w:r>
      <w:r>
        <w:lastRenderedPageBreak/>
        <w:t>essential for the economics of community energy projects, as no single revenue stream is sufficient to justify capital investment.</w:t>
      </w:r>
    </w:p>
    <w:p w14:paraId="2F01E9B7" w14:textId="77777777" w:rsidR="00991F68" w:rsidRDefault="00933C0C">
      <w:pPr>
        <w:pStyle w:val="Textbody"/>
        <w:rPr>
          <w:b/>
          <w:bCs/>
        </w:rPr>
      </w:pPr>
      <w:r>
        <w:rPr>
          <w:b/>
          <w:bCs/>
        </w:rPr>
        <w:t>Addressing the Last Mile of Flexibility</w:t>
      </w:r>
    </w:p>
    <w:p w14:paraId="2F01E9B8" w14:textId="77777777" w:rsidR="00991F68" w:rsidRDefault="00933C0C">
      <w:pPr>
        <w:pStyle w:val="Textbody"/>
      </w:pPr>
      <w:r>
        <w:t>Community energy organisations, with their embedded relationships and trusted local presence, are the most effective mechanism for unlocking domestic flexibility. They can engage consumers in a way that large energy suppliers and technology companies cannot, because they are part of the community.</w:t>
      </w:r>
    </w:p>
    <w:p w14:paraId="2F01E9B9" w14:textId="77777777" w:rsidR="00991F68" w:rsidRDefault="00933C0C">
      <w:pPr>
        <w:pStyle w:val="Textbody"/>
      </w:pPr>
      <w:r>
        <w:t>DNO / DSO given their responsibility for local networks are in a central position to help deliver on these services.  The model presented in Enhanced Co-ordination approach only goes part way to meeting the requirements of a SLES.</w:t>
      </w:r>
    </w:p>
    <w:p w14:paraId="2F01E9BA" w14:textId="77777777" w:rsidR="00991F68" w:rsidRDefault="00933C0C">
      <w:pPr>
        <w:pStyle w:val="Textbody"/>
        <w:ind w:left="709"/>
        <w:rPr>
          <w:b/>
          <w:bCs/>
        </w:rPr>
      </w:pPr>
      <w:r>
        <w:rPr>
          <w:b/>
          <w:bCs/>
        </w:rPr>
        <w:t>Q9. Do you think if DNOs adopted the type of Expanded Role described above this would add value and support the rollout of LCTs and EE? Could this model provide an effective and viable way to deliver network and system benefits? If so, could this be achieved while also prioritising support for low‐income households?</w:t>
      </w:r>
    </w:p>
    <w:p w14:paraId="2F01E9BB" w14:textId="77777777" w:rsidR="00991F68" w:rsidRDefault="00933C0C">
      <w:pPr>
        <w:pStyle w:val="Textbody"/>
      </w:pPr>
      <w:r>
        <w:t xml:space="preserve">Given that NZTS focus is on pre-1910 terrace properties there is a high prevalence of low-income households.  These households lack both the financial resources and </w:t>
      </w:r>
      <w:proofErr w:type="gramStart"/>
      <w:r>
        <w:t>head-space</w:t>
      </w:r>
      <w:proofErr w:type="gramEnd"/>
      <w:r>
        <w:t xml:space="preserve"> to be make decisions about wider system benefits.  </w:t>
      </w:r>
    </w:p>
    <w:p w14:paraId="2F01E9BC" w14:textId="77777777" w:rsidR="00991F68" w:rsidRDefault="00933C0C">
      <w:pPr>
        <w:pStyle w:val="Textbody"/>
      </w:pPr>
      <w:r>
        <w:t>DNO / DSOs therefore need to work through local actors such as community groups or religious groups who are embedded in their community and can translate messages in ways that are supportive of low-income households needs.</w:t>
      </w:r>
    </w:p>
    <w:p w14:paraId="2F01E9BD" w14:textId="77777777" w:rsidR="00991F68" w:rsidRDefault="00933C0C">
      <w:pPr>
        <w:pStyle w:val="Textbody"/>
        <w:ind w:left="709"/>
        <w:rPr>
          <w:b/>
          <w:bCs/>
        </w:rPr>
      </w:pPr>
      <w:r>
        <w:rPr>
          <w:b/>
          <w:bCs/>
        </w:rPr>
        <w:t>Q10. What are your views on us considering these proposals using a network benefit and wider system benefits approach? Do you have relevant information on the likely network, system, consumer or efficiency benefits of such an approach?</w:t>
      </w:r>
    </w:p>
    <w:p w14:paraId="2F01E9BE" w14:textId="77777777" w:rsidR="00991F68" w:rsidRDefault="00933C0C">
      <w:pPr>
        <w:pStyle w:val="Textbody"/>
      </w:pPr>
      <w:r>
        <w:t>Energy security can, and must, start in the community.  Without considering wider societal needs of energy services potential market mechanisms will restrict the delivery net-zero.</w:t>
      </w:r>
    </w:p>
    <w:p w14:paraId="2F01E9BF" w14:textId="77777777" w:rsidR="00991F68" w:rsidRDefault="00933C0C">
      <w:pPr>
        <w:pStyle w:val="Textbody"/>
      </w:pPr>
      <w:r>
        <w:t xml:space="preserve">However, to scale these successes nationally, the digital infrastructure must be unified. The path from ambition to architecture requires three things: a unified digital foundation (the </w:t>
      </w:r>
      <w:proofErr w:type="spellStart"/>
      <w:r>
        <w:t>EnergyOS</w:t>
      </w:r>
      <w:proofErr w:type="spellEnd"/>
      <w:r>
        <w:t xml:space="preserve"> stack); a "flexibility first" approach to network management; and a commitment to solving the hardest problems first.</w:t>
      </w:r>
    </w:p>
    <w:p w14:paraId="2F01E9C0" w14:textId="77777777" w:rsidR="00991F68" w:rsidRDefault="00933C0C">
      <w:pPr>
        <w:pStyle w:val="Textbody"/>
      </w:pPr>
      <w:proofErr w:type="gramStart"/>
      <w:r>
        <w:t>Additionally</w:t>
      </w:r>
      <w:proofErr w:type="gramEnd"/>
      <w:r>
        <w:t xml:space="preserve"> we would point to the work of the Home Energy Efficiency Team (HEET) in Massachusetts where the local gas network company is adapting their distribution network skills to transition from gas </w:t>
      </w:r>
      <w:r>
        <w:t>supply to ambient temperature shared ground loop networks.  (HEET.org)</w:t>
      </w:r>
    </w:p>
    <w:p w14:paraId="2F01E9C1" w14:textId="77777777" w:rsidR="00991F68" w:rsidRDefault="00933C0C">
      <w:pPr>
        <w:pStyle w:val="Textbody"/>
        <w:ind w:left="709"/>
        <w:rPr>
          <w:b/>
          <w:bCs/>
        </w:rPr>
      </w:pPr>
      <w:r>
        <w:rPr>
          <w:b/>
          <w:bCs/>
        </w:rPr>
        <w:t>Q11. Do you have any views on the archetypes presented and their implications? Do you have any other approaches we should consider? Do you have any evidence on key components notably:</w:t>
      </w:r>
    </w:p>
    <w:p w14:paraId="2F01E9C2" w14:textId="77777777" w:rsidR="00991F68" w:rsidRDefault="00933C0C">
      <w:pPr>
        <w:pStyle w:val="Textbody"/>
        <w:ind w:left="709"/>
        <w:rPr>
          <w:i/>
          <w:iCs/>
        </w:rPr>
      </w:pPr>
      <w:r>
        <w:rPr>
          <w:i/>
          <w:iCs/>
        </w:rPr>
        <w:t>On the technologies and measures that should be supported: Do you have evidence on the relative costs and benefits of different technologies? How could heat pumps and other low-carbon heating technologies be included whilst still offering wider system benefits?</w:t>
      </w:r>
    </w:p>
    <w:p w14:paraId="2F01E9C3" w14:textId="77777777" w:rsidR="00991F68" w:rsidRDefault="00933C0C">
      <w:pPr>
        <w:pStyle w:val="Textbody"/>
      </w:pPr>
      <w:r>
        <w:lastRenderedPageBreak/>
        <w:t>The NZTS approach does not consider technologies in isolation.  By combining energy-efficient improvements with heat pumps, hot water storage, solar PV and batteries we create community energy system aggregation models.</w:t>
      </w:r>
    </w:p>
    <w:tbl>
      <w:tblPr>
        <w:tblW w:w="9638" w:type="dxa"/>
        <w:tblLayout w:type="fixed"/>
        <w:tblCellMar>
          <w:left w:w="10" w:type="dxa"/>
          <w:right w:w="10" w:type="dxa"/>
        </w:tblCellMar>
        <w:tblLook w:val="0000" w:firstRow="0" w:lastRow="0" w:firstColumn="0" w:lastColumn="0" w:noHBand="0" w:noVBand="0"/>
      </w:tblPr>
      <w:tblGrid>
        <w:gridCol w:w="1910"/>
        <w:gridCol w:w="3177"/>
        <w:gridCol w:w="2430"/>
        <w:gridCol w:w="2121"/>
      </w:tblGrid>
      <w:tr w:rsidR="00991F68" w14:paraId="2F01E9C8" w14:textId="77777777">
        <w:tblPrEx>
          <w:tblCellMar>
            <w:top w:w="0" w:type="dxa"/>
            <w:bottom w:w="0" w:type="dxa"/>
          </w:tblCellMar>
        </w:tblPrEx>
        <w:trPr>
          <w:tblHeader/>
        </w:trPr>
        <w:tc>
          <w:tcPr>
            <w:tcW w:w="1910" w:type="dxa"/>
            <w:tcMar>
              <w:top w:w="28" w:type="dxa"/>
              <w:left w:w="28" w:type="dxa"/>
              <w:bottom w:w="28" w:type="dxa"/>
              <w:right w:w="28" w:type="dxa"/>
            </w:tcMar>
            <w:vAlign w:val="center"/>
          </w:tcPr>
          <w:p w14:paraId="2F01E9C4" w14:textId="77777777" w:rsidR="00991F68" w:rsidRDefault="00933C0C">
            <w:pPr>
              <w:pStyle w:val="TableHeading"/>
            </w:pPr>
            <w:r>
              <w:t>Performance Metric</w:t>
            </w:r>
          </w:p>
        </w:tc>
        <w:tc>
          <w:tcPr>
            <w:tcW w:w="3177" w:type="dxa"/>
            <w:tcMar>
              <w:top w:w="28" w:type="dxa"/>
              <w:left w:w="28" w:type="dxa"/>
              <w:bottom w:w="28" w:type="dxa"/>
              <w:right w:w="28" w:type="dxa"/>
            </w:tcMar>
            <w:vAlign w:val="center"/>
          </w:tcPr>
          <w:p w14:paraId="2F01E9C5" w14:textId="77777777" w:rsidR="00991F68" w:rsidRDefault="00933C0C">
            <w:pPr>
              <w:pStyle w:val="TableHeading"/>
            </w:pPr>
            <w:r>
              <w:t>NZTS SLES</w:t>
            </w:r>
          </w:p>
        </w:tc>
        <w:tc>
          <w:tcPr>
            <w:tcW w:w="2430" w:type="dxa"/>
            <w:tcMar>
              <w:top w:w="28" w:type="dxa"/>
              <w:left w:w="28" w:type="dxa"/>
              <w:bottom w:w="28" w:type="dxa"/>
              <w:right w:w="28" w:type="dxa"/>
            </w:tcMar>
            <w:vAlign w:val="center"/>
          </w:tcPr>
          <w:p w14:paraId="2F01E9C6" w14:textId="77777777" w:rsidR="00991F68" w:rsidRDefault="00933C0C">
            <w:pPr>
              <w:pStyle w:val="TableHeading"/>
            </w:pPr>
            <w:r>
              <w:t>Counterfactual (Electric Boilers)</w:t>
            </w:r>
          </w:p>
        </w:tc>
        <w:tc>
          <w:tcPr>
            <w:tcW w:w="2121" w:type="dxa"/>
            <w:tcMar>
              <w:top w:w="28" w:type="dxa"/>
              <w:left w:w="28" w:type="dxa"/>
              <w:bottom w:w="28" w:type="dxa"/>
              <w:right w:w="28" w:type="dxa"/>
            </w:tcMar>
            <w:vAlign w:val="center"/>
          </w:tcPr>
          <w:p w14:paraId="2F01E9C7" w14:textId="77777777" w:rsidR="00991F68" w:rsidRDefault="00933C0C">
            <w:pPr>
              <w:pStyle w:val="TableHeading"/>
            </w:pPr>
            <w:r>
              <w:t>Improvement</w:t>
            </w:r>
          </w:p>
        </w:tc>
      </w:tr>
      <w:tr w:rsidR="00991F68" w14:paraId="2F01E9CD" w14:textId="77777777">
        <w:tblPrEx>
          <w:tblCellMar>
            <w:top w:w="0" w:type="dxa"/>
            <w:bottom w:w="0" w:type="dxa"/>
          </w:tblCellMar>
        </w:tblPrEx>
        <w:tc>
          <w:tcPr>
            <w:tcW w:w="1910" w:type="dxa"/>
            <w:tcMar>
              <w:top w:w="28" w:type="dxa"/>
              <w:left w:w="28" w:type="dxa"/>
              <w:bottom w:w="28" w:type="dxa"/>
              <w:right w:w="28" w:type="dxa"/>
            </w:tcMar>
            <w:vAlign w:val="center"/>
          </w:tcPr>
          <w:p w14:paraId="2F01E9C9" w14:textId="77777777" w:rsidR="00991F68" w:rsidRDefault="00933C0C">
            <w:pPr>
              <w:pStyle w:val="TableContents"/>
            </w:pPr>
            <w:r>
              <w:t>Heat Pump CoP</w:t>
            </w:r>
          </w:p>
        </w:tc>
        <w:tc>
          <w:tcPr>
            <w:tcW w:w="3177" w:type="dxa"/>
            <w:tcMar>
              <w:top w:w="28" w:type="dxa"/>
              <w:left w:w="28" w:type="dxa"/>
              <w:bottom w:w="28" w:type="dxa"/>
              <w:right w:w="28" w:type="dxa"/>
            </w:tcMar>
            <w:vAlign w:val="center"/>
          </w:tcPr>
          <w:p w14:paraId="2F01E9CA" w14:textId="77777777" w:rsidR="00991F68" w:rsidRDefault="00933C0C">
            <w:pPr>
              <w:pStyle w:val="TableContents"/>
            </w:pPr>
            <w:r>
              <w:t>4.0 (GSHP)</w:t>
            </w:r>
          </w:p>
        </w:tc>
        <w:tc>
          <w:tcPr>
            <w:tcW w:w="2430" w:type="dxa"/>
            <w:tcMar>
              <w:top w:w="28" w:type="dxa"/>
              <w:left w:w="28" w:type="dxa"/>
              <w:bottom w:w="28" w:type="dxa"/>
              <w:right w:w="28" w:type="dxa"/>
            </w:tcMar>
            <w:vAlign w:val="center"/>
          </w:tcPr>
          <w:p w14:paraId="2F01E9CB" w14:textId="77777777" w:rsidR="00991F68" w:rsidRDefault="00933C0C">
            <w:pPr>
              <w:pStyle w:val="TableContents"/>
            </w:pPr>
            <w:r>
              <w:t>1.0 (Electric Boiler)</w:t>
            </w:r>
          </w:p>
        </w:tc>
        <w:tc>
          <w:tcPr>
            <w:tcW w:w="2121" w:type="dxa"/>
            <w:tcMar>
              <w:top w:w="28" w:type="dxa"/>
              <w:left w:w="28" w:type="dxa"/>
              <w:bottom w:w="28" w:type="dxa"/>
              <w:right w:w="28" w:type="dxa"/>
            </w:tcMar>
            <w:vAlign w:val="center"/>
          </w:tcPr>
          <w:p w14:paraId="2F01E9CC" w14:textId="77777777" w:rsidR="00991F68" w:rsidRDefault="00933C0C">
            <w:pPr>
              <w:pStyle w:val="TableContents"/>
            </w:pPr>
            <w:r>
              <w:t>75% reduction in energy use</w:t>
            </w:r>
          </w:p>
        </w:tc>
      </w:tr>
      <w:tr w:rsidR="00991F68" w14:paraId="2F01E9D2" w14:textId="77777777">
        <w:tblPrEx>
          <w:tblCellMar>
            <w:top w:w="0" w:type="dxa"/>
            <w:bottom w:w="0" w:type="dxa"/>
          </w:tblCellMar>
        </w:tblPrEx>
        <w:tc>
          <w:tcPr>
            <w:tcW w:w="1910" w:type="dxa"/>
            <w:tcMar>
              <w:top w:w="28" w:type="dxa"/>
              <w:left w:w="28" w:type="dxa"/>
              <w:bottom w:w="28" w:type="dxa"/>
              <w:right w:w="28" w:type="dxa"/>
            </w:tcMar>
            <w:vAlign w:val="center"/>
          </w:tcPr>
          <w:p w14:paraId="2F01E9CE" w14:textId="77777777" w:rsidR="00991F68" w:rsidRDefault="00933C0C">
            <w:pPr>
              <w:pStyle w:val="TableContents"/>
            </w:pPr>
            <w:r>
              <w:t>Peak Network Capacity</w:t>
            </w:r>
          </w:p>
        </w:tc>
        <w:tc>
          <w:tcPr>
            <w:tcW w:w="3177" w:type="dxa"/>
            <w:tcMar>
              <w:top w:w="28" w:type="dxa"/>
              <w:left w:w="28" w:type="dxa"/>
              <w:bottom w:w="28" w:type="dxa"/>
              <w:right w:w="28" w:type="dxa"/>
            </w:tcMar>
            <w:vAlign w:val="center"/>
          </w:tcPr>
          <w:p w14:paraId="2F01E9CF" w14:textId="77777777" w:rsidR="00991F68" w:rsidRDefault="00933C0C">
            <w:pPr>
              <w:pStyle w:val="TableContents"/>
            </w:pPr>
            <w:r>
              <w:t>Reduced by up to 80%</w:t>
            </w:r>
          </w:p>
        </w:tc>
        <w:tc>
          <w:tcPr>
            <w:tcW w:w="2430" w:type="dxa"/>
            <w:tcMar>
              <w:top w:w="28" w:type="dxa"/>
              <w:left w:w="28" w:type="dxa"/>
              <w:bottom w:w="28" w:type="dxa"/>
              <w:right w:w="28" w:type="dxa"/>
            </w:tcMar>
            <w:vAlign w:val="center"/>
          </w:tcPr>
          <w:p w14:paraId="2F01E9D0" w14:textId="77777777" w:rsidR="00991F68" w:rsidRDefault="00933C0C">
            <w:pPr>
              <w:pStyle w:val="TableContents"/>
            </w:pPr>
            <w:r>
              <w:t>Baseline</w:t>
            </w:r>
          </w:p>
        </w:tc>
        <w:tc>
          <w:tcPr>
            <w:tcW w:w="2121" w:type="dxa"/>
            <w:tcMar>
              <w:top w:w="28" w:type="dxa"/>
              <w:left w:w="28" w:type="dxa"/>
              <w:bottom w:w="28" w:type="dxa"/>
              <w:right w:w="28" w:type="dxa"/>
            </w:tcMar>
            <w:vAlign w:val="center"/>
          </w:tcPr>
          <w:p w14:paraId="2F01E9D1" w14:textId="77777777" w:rsidR="00991F68" w:rsidRDefault="00933C0C">
            <w:pPr>
              <w:pStyle w:val="TableContents"/>
            </w:pPr>
            <w:r>
              <w:t>80% reduction</w:t>
            </w:r>
          </w:p>
        </w:tc>
      </w:tr>
      <w:tr w:rsidR="00991F68" w14:paraId="2F01E9D7" w14:textId="77777777">
        <w:tblPrEx>
          <w:tblCellMar>
            <w:top w:w="0" w:type="dxa"/>
            <w:bottom w:w="0" w:type="dxa"/>
          </w:tblCellMar>
        </w:tblPrEx>
        <w:tc>
          <w:tcPr>
            <w:tcW w:w="1910" w:type="dxa"/>
            <w:tcMar>
              <w:top w:w="28" w:type="dxa"/>
              <w:left w:w="28" w:type="dxa"/>
              <w:bottom w:w="28" w:type="dxa"/>
              <w:right w:w="28" w:type="dxa"/>
            </w:tcMar>
            <w:vAlign w:val="center"/>
          </w:tcPr>
          <w:p w14:paraId="2F01E9D3" w14:textId="77777777" w:rsidR="00991F68" w:rsidRDefault="00933C0C">
            <w:pPr>
              <w:pStyle w:val="TableContents"/>
            </w:pPr>
            <w:r>
              <w:t>Upfront Cost to Resident</w:t>
            </w:r>
          </w:p>
        </w:tc>
        <w:tc>
          <w:tcPr>
            <w:tcW w:w="3177" w:type="dxa"/>
            <w:tcMar>
              <w:top w:w="28" w:type="dxa"/>
              <w:left w:w="28" w:type="dxa"/>
              <w:bottom w:w="28" w:type="dxa"/>
              <w:right w:w="28" w:type="dxa"/>
            </w:tcMar>
            <w:vAlign w:val="center"/>
          </w:tcPr>
          <w:p w14:paraId="2F01E9D4" w14:textId="77777777" w:rsidR="00991F68" w:rsidRDefault="00933C0C">
            <w:pPr>
              <w:pStyle w:val="TableContents"/>
            </w:pPr>
            <w:r>
              <w:t>£0 (standing charge model)</w:t>
            </w:r>
          </w:p>
        </w:tc>
        <w:tc>
          <w:tcPr>
            <w:tcW w:w="2430" w:type="dxa"/>
            <w:tcMar>
              <w:top w:w="28" w:type="dxa"/>
              <w:left w:w="28" w:type="dxa"/>
              <w:bottom w:w="28" w:type="dxa"/>
              <w:right w:w="28" w:type="dxa"/>
            </w:tcMar>
            <w:vAlign w:val="center"/>
          </w:tcPr>
          <w:p w14:paraId="2F01E9D5" w14:textId="77777777" w:rsidR="00991F68" w:rsidRDefault="00933C0C">
            <w:pPr>
              <w:pStyle w:val="TableContents"/>
            </w:pPr>
            <w:r>
              <w:t xml:space="preserve">High </w:t>
            </w:r>
            <w:r>
              <w:t>(individual capital cost)</w:t>
            </w:r>
          </w:p>
        </w:tc>
        <w:tc>
          <w:tcPr>
            <w:tcW w:w="2121" w:type="dxa"/>
            <w:tcMar>
              <w:top w:w="28" w:type="dxa"/>
              <w:left w:w="28" w:type="dxa"/>
              <w:bottom w:w="28" w:type="dxa"/>
              <w:right w:w="28" w:type="dxa"/>
            </w:tcMar>
            <w:vAlign w:val="center"/>
          </w:tcPr>
          <w:p w14:paraId="2F01E9D6" w14:textId="77777777" w:rsidR="00991F68" w:rsidRDefault="00933C0C">
            <w:pPr>
              <w:pStyle w:val="TableContents"/>
            </w:pPr>
            <w:r>
              <w:t>Fully accessible</w:t>
            </w:r>
          </w:p>
        </w:tc>
      </w:tr>
      <w:tr w:rsidR="00991F68" w14:paraId="2F01E9DC" w14:textId="77777777">
        <w:tblPrEx>
          <w:tblCellMar>
            <w:top w:w="0" w:type="dxa"/>
            <w:bottom w:w="0" w:type="dxa"/>
          </w:tblCellMar>
        </w:tblPrEx>
        <w:tc>
          <w:tcPr>
            <w:tcW w:w="1910" w:type="dxa"/>
            <w:tcMar>
              <w:top w:w="28" w:type="dxa"/>
              <w:left w:w="28" w:type="dxa"/>
              <w:bottom w:w="28" w:type="dxa"/>
              <w:right w:w="28" w:type="dxa"/>
            </w:tcMar>
            <w:vAlign w:val="center"/>
          </w:tcPr>
          <w:p w14:paraId="2F01E9D8" w14:textId="77777777" w:rsidR="00991F68" w:rsidRDefault="00933C0C">
            <w:pPr>
              <w:pStyle w:val="TableContents"/>
            </w:pPr>
            <w:r>
              <w:t>Energy Source</w:t>
            </w:r>
          </w:p>
        </w:tc>
        <w:tc>
          <w:tcPr>
            <w:tcW w:w="3177" w:type="dxa"/>
            <w:tcMar>
              <w:top w:w="28" w:type="dxa"/>
              <w:left w:w="28" w:type="dxa"/>
              <w:bottom w:w="28" w:type="dxa"/>
              <w:right w:w="28" w:type="dxa"/>
            </w:tcMar>
            <w:vAlign w:val="center"/>
          </w:tcPr>
          <w:p w14:paraId="2F01E9D9" w14:textId="77777777" w:rsidR="00991F68" w:rsidRDefault="00933C0C">
            <w:pPr>
              <w:pStyle w:val="TableContents"/>
            </w:pPr>
            <w:r>
              <w:t>Community renewables + grid</w:t>
            </w:r>
          </w:p>
        </w:tc>
        <w:tc>
          <w:tcPr>
            <w:tcW w:w="2430" w:type="dxa"/>
            <w:tcMar>
              <w:top w:w="28" w:type="dxa"/>
              <w:left w:w="28" w:type="dxa"/>
              <w:bottom w:w="28" w:type="dxa"/>
              <w:right w:w="28" w:type="dxa"/>
            </w:tcMar>
            <w:vAlign w:val="center"/>
          </w:tcPr>
          <w:p w14:paraId="2F01E9DA" w14:textId="77777777" w:rsidR="00991F68" w:rsidRDefault="00933C0C">
            <w:pPr>
              <w:pStyle w:val="TableContents"/>
            </w:pPr>
            <w:r>
              <w:t>Grid only</w:t>
            </w:r>
          </w:p>
        </w:tc>
        <w:tc>
          <w:tcPr>
            <w:tcW w:w="2121" w:type="dxa"/>
            <w:tcMar>
              <w:top w:w="28" w:type="dxa"/>
              <w:left w:w="28" w:type="dxa"/>
              <w:bottom w:w="28" w:type="dxa"/>
              <w:right w:w="28" w:type="dxa"/>
            </w:tcMar>
            <w:vAlign w:val="center"/>
          </w:tcPr>
          <w:p w14:paraId="2F01E9DB" w14:textId="77777777" w:rsidR="00991F68" w:rsidRDefault="00933C0C">
            <w:pPr>
              <w:pStyle w:val="TableContents"/>
            </w:pPr>
            <w:r>
              <w:t>Lower carbon intensity</w:t>
            </w:r>
          </w:p>
        </w:tc>
      </w:tr>
      <w:tr w:rsidR="00991F68" w14:paraId="2F01E9E1" w14:textId="77777777">
        <w:tblPrEx>
          <w:tblCellMar>
            <w:top w:w="0" w:type="dxa"/>
            <w:bottom w:w="0" w:type="dxa"/>
          </w:tblCellMar>
        </w:tblPrEx>
        <w:tc>
          <w:tcPr>
            <w:tcW w:w="1910" w:type="dxa"/>
            <w:tcMar>
              <w:top w:w="28" w:type="dxa"/>
              <w:left w:w="28" w:type="dxa"/>
              <w:bottom w:w="28" w:type="dxa"/>
              <w:right w:w="28" w:type="dxa"/>
            </w:tcMar>
            <w:vAlign w:val="center"/>
          </w:tcPr>
          <w:p w14:paraId="2F01E9DD" w14:textId="77777777" w:rsidR="00991F68" w:rsidRDefault="00933C0C">
            <w:pPr>
              <w:pStyle w:val="TableContents"/>
            </w:pPr>
            <w:r>
              <w:t>Grid Services</w:t>
            </w:r>
          </w:p>
        </w:tc>
        <w:tc>
          <w:tcPr>
            <w:tcW w:w="3177" w:type="dxa"/>
            <w:tcMar>
              <w:top w:w="28" w:type="dxa"/>
              <w:left w:w="28" w:type="dxa"/>
              <w:bottom w:w="28" w:type="dxa"/>
              <w:right w:w="28" w:type="dxa"/>
            </w:tcMar>
            <w:vAlign w:val="center"/>
          </w:tcPr>
          <w:p w14:paraId="2F01E9DE" w14:textId="77777777" w:rsidR="00991F68" w:rsidRDefault="00933C0C">
            <w:pPr>
              <w:pStyle w:val="TableContents"/>
            </w:pPr>
            <w:r>
              <w:t>DSO flexibility, voltage management, national balancing</w:t>
            </w:r>
          </w:p>
        </w:tc>
        <w:tc>
          <w:tcPr>
            <w:tcW w:w="2430" w:type="dxa"/>
            <w:tcMar>
              <w:top w:w="28" w:type="dxa"/>
              <w:left w:w="28" w:type="dxa"/>
              <w:bottom w:w="28" w:type="dxa"/>
              <w:right w:w="28" w:type="dxa"/>
            </w:tcMar>
            <w:vAlign w:val="center"/>
          </w:tcPr>
          <w:p w14:paraId="2F01E9DF" w14:textId="77777777" w:rsidR="00991F68" w:rsidRDefault="00933C0C">
            <w:pPr>
              <w:pStyle w:val="TableContents"/>
            </w:pPr>
            <w:r>
              <w:t>None</w:t>
            </w:r>
          </w:p>
        </w:tc>
        <w:tc>
          <w:tcPr>
            <w:tcW w:w="2121" w:type="dxa"/>
            <w:tcMar>
              <w:top w:w="28" w:type="dxa"/>
              <w:left w:w="28" w:type="dxa"/>
              <w:bottom w:w="28" w:type="dxa"/>
              <w:right w:w="28" w:type="dxa"/>
            </w:tcMar>
            <w:vAlign w:val="center"/>
          </w:tcPr>
          <w:p w14:paraId="2F01E9E0" w14:textId="77777777" w:rsidR="00991F68" w:rsidRDefault="00933C0C">
            <w:pPr>
              <w:pStyle w:val="TableContents"/>
            </w:pPr>
            <w:r>
              <w:t>Multiple revenue streams</w:t>
            </w:r>
          </w:p>
        </w:tc>
      </w:tr>
    </w:tbl>
    <w:p w14:paraId="2F01E9E2" w14:textId="77777777" w:rsidR="00991F68" w:rsidRDefault="00991F68">
      <w:pPr>
        <w:pStyle w:val="Standard"/>
      </w:pPr>
    </w:p>
    <w:p w14:paraId="2F01E9E3" w14:textId="77777777" w:rsidR="00991F68" w:rsidRDefault="00933C0C">
      <w:pPr>
        <w:pStyle w:val="Textbody"/>
        <w:ind w:left="709"/>
        <w:rPr>
          <w:i/>
          <w:iCs/>
        </w:rPr>
      </w:pPr>
      <w:r>
        <w:rPr>
          <w:i/>
          <w:iCs/>
        </w:rPr>
        <w:t xml:space="preserve">On the </w:t>
      </w:r>
      <w:r>
        <w:rPr>
          <w:i/>
          <w:iCs/>
        </w:rPr>
        <w:t xml:space="preserve">identification of suitable properties and consumer engagement: Would DNOs be well placed to proactively identify suitable properties and/or engage with consumers, or are there other actors better place to perform these functions?  </w:t>
      </w:r>
    </w:p>
    <w:p w14:paraId="2F01E9E4" w14:textId="77777777" w:rsidR="00991F68" w:rsidRDefault="00933C0C">
      <w:pPr>
        <w:pStyle w:val="Textbody"/>
      </w:pPr>
      <w:r>
        <w:t>To meet 2030 and beyond targets place-based approaches offer the most likely delivery of net-zero targets.  However, it is unclear how DNOs could usefully identify suitable properties.  DNOs could more usefully support local actors who understand community needs and desires.</w:t>
      </w:r>
    </w:p>
    <w:p w14:paraId="2F01E9E5" w14:textId="77777777" w:rsidR="00991F68" w:rsidRDefault="00933C0C">
      <w:pPr>
        <w:pStyle w:val="Textbody"/>
        <w:ind w:left="709"/>
        <w:rPr>
          <w:i/>
          <w:iCs/>
        </w:rPr>
      </w:pPr>
      <w:r>
        <w:rPr>
          <w:i/>
          <w:iCs/>
        </w:rPr>
        <w:t xml:space="preserve">On the potential funding approaches and implications: want are your views on the feasibility, or risks from these approaches; do you have evidence from other sources that is relevant to these considerations?  </w:t>
      </w:r>
    </w:p>
    <w:p w14:paraId="2F01E9E6" w14:textId="77777777" w:rsidR="00991F68" w:rsidRDefault="00933C0C">
      <w:pPr>
        <w:pStyle w:val="Textbody"/>
      </w:pPr>
      <w:r>
        <w:t>RVE is currently working with financial advisors and banks to develop a financial model for NZTS that could represent a bankable financing option once and at scale demonstration has been completed.</w:t>
      </w:r>
    </w:p>
    <w:p w14:paraId="2F01E9E7" w14:textId="77777777" w:rsidR="00991F68" w:rsidRDefault="00933C0C">
      <w:pPr>
        <w:pStyle w:val="Textbody"/>
      </w:pPr>
      <w:r>
        <w:t>Discussions are currently underway with combined authorities for large scale demonstrators of the NZTS approach,</w:t>
      </w:r>
    </w:p>
    <w:p w14:paraId="2F01E9E8" w14:textId="77777777" w:rsidR="00991F68" w:rsidRDefault="00933C0C">
      <w:pPr>
        <w:pStyle w:val="Textbody"/>
        <w:ind w:left="709"/>
        <w:rPr>
          <w:i/>
          <w:iCs/>
        </w:rPr>
      </w:pPr>
      <w:r>
        <w:rPr>
          <w:i/>
          <w:iCs/>
        </w:rPr>
        <w:t>On responsibility for installations: what are the risks and opportunities if DNO’s were responsible for installations? What are the options for partnerships and how could different responsibilities offer better outcomes?</w:t>
      </w:r>
    </w:p>
    <w:p w14:paraId="2F01E9E9" w14:textId="77777777" w:rsidR="00991F68" w:rsidRDefault="00991F68">
      <w:pPr>
        <w:pStyle w:val="Textbody"/>
      </w:pPr>
    </w:p>
    <w:p w14:paraId="2F01E9EA" w14:textId="77777777" w:rsidR="00991F68" w:rsidRDefault="00933C0C">
      <w:pPr>
        <w:pStyle w:val="Textbody"/>
        <w:ind w:left="709"/>
        <w:rPr>
          <w:i/>
          <w:iCs/>
        </w:rPr>
      </w:pPr>
      <w:r>
        <w:rPr>
          <w:i/>
          <w:iCs/>
        </w:rPr>
        <w:t>On ownership and control of assets: how can necessary level of network or system benefits be achieved without DNO control and ownership? Does this pose other risks and challenges, and how might these be overcome?</w:t>
      </w:r>
    </w:p>
    <w:p w14:paraId="2F01E9EB" w14:textId="77777777" w:rsidR="00991F68" w:rsidRDefault="00933C0C">
      <w:pPr>
        <w:pStyle w:val="Textbody"/>
      </w:pPr>
      <w:r>
        <w:t>We have set out options for the control and ownership of NZTS in Q6</w:t>
      </w:r>
    </w:p>
    <w:p w14:paraId="2F01E9EC" w14:textId="77777777" w:rsidR="00991F68" w:rsidRDefault="00933C0C">
      <w:pPr>
        <w:pStyle w:val="Textbody"/>
        <w:ind w:left="709"/>
        <w:rPr>
          <w:b/>
          <w:bCs/>
        </w:rPr>
      </w:pPr>
      <w:r>
        <w:rPr>
          <w:b/>
          <w:bCs/>
        </w:rPr>
        <w:t xml:space="preserve">Q12. Do you have views on whether pilots of these approaches would be valuable? And, if so, whether the pilots should potentially include a range options across archetypes, or whether the scope should be narrowed in advance? What should be the </w:t>
      </w:r>
      <w:proofErr w:type="gramStart"/>
      <w:r>
        <w:rPr>
          <w:b/>
          <w:bCs/>
        </w:rPr>
        <w:t>main focus</w:t>
      </w:r>
      <w:proofErr w:type="gramEnd"/>
      <w:r>
        <w:rPr>
          <w:b/>
          <w:bCs/>
        </w:rPr>
        <w:t xml:space="preserve"> of any pilots?</w:t>
      </w:r>
    </w:p>
    <w:p w14:paraId="2F01E9ED" w14:textId="77777777" w:rsidR="00991F68" w:rsidRDefault="00933C0C">
      <w:pPr>
        <w:pStyle w:val="Textbody"/>
      </w:pPr>
      <w:r>
        <w:lastRenderedPageBreak/>
        <w:t>The time for pilots is over now larger scale roll-out demonstrator are now required to speed up delivery and build consumer confidence.</w:t>
      </w:r>
    </w:p>
    <w:p w14:paraId="2F01E9EE" w14:textId="77777777" w:rsidR="00991F68" w:rsidRDefault="00933C0C">
      <w:pPr>
        <w:pStyle w:val="Textbody"/>
        <w:ind w:left="709"/>
      </w:pPr>
      <w:r>
        <w:rPr>
          <w:b/>
          <w:bCs/>
        </w:rPr>
        <w:t xml:space="preserve">Q13. How could </w:t>
      </w:r>
      <w:proofErr w:type="spellStart"/>
      <w:r>
        <w:rPr>
          <w:b/>
          <w:bCs/>
        </w:rPr>
        <w:t>iDNOs</w:t>
      </w:r>
      <w:proofErr w:type="spellEnd"/>
      <w:r>
        <w:rPr>
          <w:b/>
          <w:bCs/>
        </w:rPr>
        <w:t xml:space="preserve"> support the proposals in this portion of the consultation?</w:t>
      </w:r>
    </w:p>
    <w:sectPr w:rsidR="00991F68">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1E919" w14:textId="77777777" w:rsidR="00933C0C" w:rsidRDefault="00933C0C">
      <w:r>
        <w:separator/>
      </w:r>
    </w:p>
  </w:endnote>
  <w:endnote w:type="continuationSeparator" w:id="0">
    <w:p w14:paraId="2F01E91B" w14:textId="77777777" w:rsidR="00933C0C" w:rsidRDefault="0093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Segoe UI Symbol"/>
    <w:charset w:val="02"/>
    <w:family w:val="auto"/>
    <w:pitch w:val="default"/>
  </w:font>
  <w:font w:name="Liberation Serif">
    <w:altName w:val="Times New Roman"/>
    <w:charset w:val="00"/>
    <w:family w:val="roman"/>
    <w:pitch w:val="variable"/>
  </w:font>
  <w:font w:name="Noto Serif CJK SC">
    <w:charset w:val="00"/>
    <w:family w:val="auto"/>
    <w:pitch w:val="variable"/>
  </w:font>
  <w:font w:name="FreeSans">
    <w:charset w:val="00"/>
    <w:family w:val="auto"/>
    <w:pitch w:val="variable"/>
  </w:font>
  <w:font w:name="Liberation Sans">
    <w:altName w:val="Arial"/>
    <w:charset w:val="00"/>
    <w:family w:val="swiss"/>
    <w:pitch w:val="variable"/>
  </w:font>
  <w:font w:name="Noto Sans CJK SC">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F2493" w14:textId="2E85F5D5" w:rsidR="006543C9" w:rsidRDefault="006543C9">
    <w:pPr>
      <w:pStyle w:val="Footer"/>
    </w:pPr>
    <w:r>
      <w:rPr>
        <w:noProof/>
      </w:rPr>
      <mc:AlternateContent>
        <mc:Choice Requires="wps">
          <w:drawing>
            <wp:anchor distT="0" distB="0" distL="0" distR="0" simplePos="0" relativeHeight="251662336" behindDoc="0" locked="0" layoutInCell="1" allowOverlap="1" wp14:anchorId="6434B38F" wp14:editId="26C3ED18">
              <wp:simplePos x="635" y="635"/>
              <wp:positionH relativeFrom="page">
                <wp:align>center</wp:align>
              </wp:positionH>
              <wp:positionV relativeFrom="page">
                <wp:align>bottom</wp:align>
              </wp:positionV>
              <wp:extent cx="1619250" cy="345440"/>
              <wp:effectExtent l="0" t="0" r="0" b="0"/>
              <wp:wrapNone/>
              <wp:docPr id="1170227146" name="Text Box 5" descr="OFFICIAL - OFGEM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19250" cy="345440"/>
                      </a:xfrm>
                      <a:prstGeom prst="rect">
                        <a:avLst/>
                      </a:prstGeom>
                      <a:noFill/>
                      <a:ln>
                        <a:noFill/>
                      </a:ln>
                    </wps:spPr>
                    <wps:txbx>
                      <w:txbxContent>
                        <w:p w14:paraId="50FED834" w14:textId="5BB92F89"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34B38F" id="_x0000_t202" coordsize="21600,21600" o:spt="202" path="m,l,21600r21600,l21600,xe">
              <v:stroke joinstyle="miter"/>
              <v:path gradientshapeok="t" o:connecttype="rect"/>
            </v:shapetype>
            <v:shape id="Text Box 5" o:spid="_x0000_s1028" type="#_x0000_t202" alt="OFFICIAL - OFGEM USE ONLY" style="position:absolute;margin-left:0;margin-top:0;width:127.5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" filled="f" stroked="f">
              <v:fill o:detectmouseclick="t"/>
              <v:textbox style="mso-fit-shape-to-text:t" inset="0,0,0,15pt">
                <w:txbxContent>
                  <w:p w14:paraId="50FED834" w14:textId="5BB92F89"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1C728" w14:textId="47AAF795" w:rsidR="006543C9" w:rsidRDefault="006543C9">
    <w:pPr>
      <w:pStyle w:val="Footer"/>
    </w:pPr>
    <w:r>
      <w:rPr>
        <w:noProof/>
      </w:rPr>
      <mc:AlternateContent>
        <mc:Choice Requires="wps">
          <w:drawing>
            <wp:anchor distT="0" distB="0" distL="0" distR="0" simplePos="0" relativeHeight="251663360" behindDoc="0" locked="0" layoutInCell="1" allowOverlap="1" wp14:anchorId="04E8DE42" wp14:editId="47A299D6">
              <wp:simplePos x="723900" y="10058400"/>
              <wp:positionH relativeFrom="page">
                <wp:align>center</wp:align>
              </wp:positionH>
              <wp:positionV relativeFrom="page">
                <wp:align>bottom</wp:align>
              </wp:positionV>
              <wp:extent cx="1619250" cy="345440"/>
              <wp:effectExtent l="0" t="0" r="0" b="0"/>
              <wp:wrapNone/>
              <wp:docPr id="1066223252" name="Text Box 6" descr="OFFICIAL - OFGEM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19250" cy="345440"/>
                      </a:xfrm>
                      <a:prstGeom prst="rect">
                        <a:avLst/>
                      </a:prstGeom>
                      <a:noFill/>
                      <a:ln>
                        <a:noFill/>
                      </a:ln>
                    </wps:spPr>
                    <wps:txbx>
                      <w:txbxContent>
                        <w:p w14:paraId="3182BB99" w14:textId="7F63BB23"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E8DE42" id="_x0000_t202" coordsize="21600,21600" o:spt="202" path="m,l,21600r21600,l21600,xe">
              <v:stroke joinstyle="miter"/>
              <v:path gradientshapeok="t" o:connecttype="rect"/>
            </v:shapetype>
            <v:shape id="Text Box 6" o:spid="_x0000_s1029" type="#_x0000_t202" alt="OFFICIAL - OFGEM USE ONLY" style="position:absolute;margin-left:0;margin-top:0;width:127.5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" filled="f" stroked="f">
              <v:fill o:detectmouseclick="t"/>
              <v:textbox style="mso-fit-shape-to-text:t" inset="0,0,0,15pt">
                <w:txbxContent>
                  <w:p w14:paraId="3182BB99" w14:textId="7F63BB23"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D1A1" w14:textId="13125633" w:rsidR="006543C9" w:rsidRDefault="006543C9">
    <w:pPr>
      <w:pStyle w:val="Footer"/>
    </w:pPr>
    <w:r>
      <w:rPr>
        <w:noProof/>
      </w:rPr>
      <mc:AlternateContent>
        <mc:Choice Requires="wps">
          <w:drawing>
            <wp:anchor distT="0" distB="0" distL="0" distR="0" simplePos="0" relativeHeight="251661312" behindDoc="0" locked="0" layoutInCell="1" allowOverlap="1" wp14:anchorId="4181B0E7" wp14:editId="7CC69573">
              <wp:simplePos x="635" y="635"/>
              <wp:positionH relativeFrom="page">
                <wp:align>center</wp:align>
              </wp:positionH>
              <wp:positionV relativeFrom="page">
                <wp:align>bottom</wp:align>
              </wp:positionV>
              <wp:extent cx="1619250" cy="345440"/>
              <wp:effectExtent l="0" t="0" r="0" b="0"/>
              <wp:wrapNone/>
              <wp:docPr id="2046173926" name="Text Box 4" descr="OFFICIAL - OFGEM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19250" cy="345440"/>
                      </a:xfrm>
                      <a:prstGeom prst="rect">
                        <a:avLst/>
                      </a:prstGeom>
                      <a:noFill/>
                      <a:ln>
                        <a:noFill/>
                      </a:ln>
                    </wps:spPr>
                    <wps:txbx>
                      <w:txbxContent>
                        <w:p w14:paraId="29BD6A6A" w14:textId="62A831FB"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81B0E7" id="_x0000_t202" coordsize="21600,21600" o:spt="202" path="m,l,21600r21600,l21600,xe">
              <v:stroke joinstyle="miter"/>
              <v:path gradientshapeok="t" o:connecttype="rect"/>
            </v:shapetype>
            <v:shape id="Text Box 4" o:spid="_x0000_s1031" type="#_x0000_t202" alt="OFFICIAL - OFGEM USE ONLY" style="position:absolute;margin-left:0;margin-top:0;width:127.5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" filled="f" stroked="f">
              <v:fill o:detectmouseclick="t"/>
              <v:textbox style="mso-fit-shape-to-text:t" inset="0,0,0,15pt">
                <w:txbxContent>
                  <w:p w14:paraId="29BD6A6A" w14:textId="62A831FB"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E915" w14:textId="77777777" w:rsidR="00933C0C" w:rsidRDefault="00933C0C">
      <w:r>
        <w:rPr>
          <w:color w:val="000000"/>
        </w:rPr>
        <w:separator/>
      </w:r>
    </w:p>
  </w:footnote>
  <w:footnote w:type="continuationSeparator" w:id="0">
    <w:p w14:paraId="2F01E917" w14:textId="77777777" w:rsidR="00933C0C" w:rsidRDefault="00933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592A" w14:textId="3A748BE4" w:rsidR="006543C9" w:rsidRDefault="006543C9">
    <w:pPr>
      <w:pStyle w:val="Header"/>
    </w:pPr>
    <w:r>
      <w:rPr>
        <w:noProof/>
      </w:rPr>
      <mc:AlternateContent>
        <mc:Choice Requires="wps">
          <w:drawing>
            <wp:anchor distT="0" distB="0" distL="0" distR="0" simplePos="0" relativeHeight="251659264" behindDoc="0" locked="0" layoutInCell="1" allowOverlap="1" wp14:anchorId="242773C9" wp14:editId="26D5E7AC">
              <wp:simplePos x="635" y="635"/>
              <wp:positionH relativeFrom="page">
                <wp:align>center</wp:align>
              </wp:positionH>
              <wp:positionV relativeFrom="page">
                <wp:align>top</wp:align>
              </wp:positionV>
              <wp:extent cx="1619250" cy="345440"/>
              <wp:effectExtent l="0" t="0" r="0" b="16510"/>
              <wp:wrapNone/>
              <wp:docPr id="383878836" name="Text Box 2" descr="OFFICIAL - OFGEM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19250" cy="345440"/>
                      </a:xfrm>
                      <a:prstGeom prst="rect">
                        <a:avLst/>
                      </a:prstGeom>
                      <a:noFill/>
                      <a:ln>
                        <a:noFill/>
                      </a:ln>
                    </wps:spPr>
                    <wps:txbx>
                      <w:txbxContent>
                        <w:p w14:paraId="388EFAF4" w14:textId="603E4013"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2773C9" id="_x0000_t202" coordsize="21600,21600" o:spt="202" path="m,l,21600r21600,l21600,xe">
              <v:stroke joinstyle="miter"/>
              <v:path gradientshapeok="t" o:connecttype="rect"/>
            </v:shapetype>
            <v:shape id="Text Box 2" o:spid="_x0000_s1026" type="#_x0000_t202" alt="OFFICIAL - OFGEM USE ONLY" style="position:absolute;margin-left:0;margin-top:0;width:127.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" filled="f" stroked="f">
              <v:fill o:detectmouseclick="t"/>
              <v:textbox style="mso-fit-shape-to-text:t" inset="0,15pt,0,0">
                <w:txbxContent>
                  <w:p w14:paraId="388EFAF4" w14:textId="603E4013"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B9A0C" w14:textId="7564AC13" w:rsidR="006543C9" w:rsidRDefault="006543C9">
    <w:pPr>
      <w:pStyle w:val="Header"/>
    </w:pPr>
    <w:r>
      <w:rPr>
        <w:noProof/>
      </w:rPr>
      <mc:AlternateContent>
        <mc:Choice Requires="wps">
          <w:drawing>
            <wp:anchor distT="0" distB="0" distL="0" distR="0" simplePos="0" relativeHeight="251660288" behindDoc="0" locked="0" layoutInCell="1" allowOverlap="1" wp14:anchorId="322A3BA1" wp14:editId="11858301">
              <wp:simplePos x="723900" y="457200"/>
              <wp:positionH relativeFrom="page">
                <wp:align>center</wp:align>
              </wp:positionH>
              <wp:positionV relativeFrom="page">
                <wp:align>top</wp:align>
              </wp:positionV>
              <wp:extent cx="1619250" cy="345440"/>
              <wp:effectExtent l="0" t="0" r="0" b="16510"/>
              <wp:wrapNone/>
              <wp:docPr id="429294514" name="Text Box 3" descr="OFFICIAL - OFGEM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19250" cy="345440"/>
                      </a:xfrm>
                      <a:prstGeom prst="rect">
                        <a:avLst/>
                      </a:prstGeom>
                      <a:noFill/>
                      <a:ln>
                        <a:noFill/>
                      </a:ln>
                    </wps:spPr>
                    <wps:txbx>
                      <w:txbxContent>
                        <w:p w14:paraId="59AAE214" w14:textId="0BAFED7D"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2A3BA1" id="_x0000_t202" coordsize="21600,21600" o:spt="202" path="m,l,21600r21600,l21600,xe">
              <v:stroke joinstyle="miter"/>
              <v:path gradientshapeok="t" o:connecttype="rect"/>
            </v:shapetype>
            <v:shape id="Text Box 3" o:spid="_x0000_s1027" type="#_x0000_t202" alt="OFFICIAL - OFGEM USE ONLY" style="position:absolute;margin-left:0;margin-top:0;width:127.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" filled="f" stroked="f">
              <v:fill o:detectmouseclick="t"/>
              <v:textbox style="mso-fit-shape-to-text:t" inset="0,15pt,0,0">
                <w:txbxContent>
                  <w:p w14:paraId="59AAE214" w14:textId="0BAFED7D"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C7DDF" w14:textId="0058EDDB" w:rsidR="006543C9" w:rsidRDefault="006543C9">
    <w:pPr>
      <w:pStyle w:val="Header"/>
    </w:pPr>
    <w:r>
      <w:rPr>
        <w:noProof/>
      </w:rPr>
      <mc:AlternateContent>
        <mc:Choice Requires="wps">
          <w:drawing>
            <wp:anchor distT="0" distB="0" distL="0" distR="0" simplePos="0" relativeHeight="251658240" behindDoc="0" locked="0" layoutInCell="1" allowOverlap="1" wp14:anchorId="6EA9A3F4" wp14:editId="22F4B991">
              <wp:simplePos x="635" y="635"/>
              <wp:positionH relativeFrom="page">
                <wp:align>center</wp:align>
              </wp:positionH>
              <wp:positionV relativeFrom="page">
                <wp:align>top</wp:align>
              </wp:positionV>
              <wp:extent cx="1619250" cy="345440"/>
              <wp:effectExtent l="0" t="0" r="0" b="16510"/>
              <wp:wrapNone/>
              <wp:docPr id="2040065699" name="Text Box 1" descr="OFFICIAL - OFGEM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19250" cy="345440"/>
                      </a:xfrm>
                      <a:prstGeom prst="rect">
                        <a:avLst/>
                      </a:prstGeom>
                      <a:noFill/>
                      <a:ln>
                        <a:noFill/>
                      </a:ln>
                    </wps:spPr>
                    <wps:txbx>
                      <w:txbxContent>
                        <w:p w14:paraId="5120CACF" w14:textId="7211508C"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A9A3F4" id="_x0000_t202" coordsize="21600,21600" o:spt="202" path="m,l,21600r21600,l21600,xe">
              <v:stroke joinstyle="miter"/>
              <v:path gradientshapeok="t" o:connecttype="rect"/>
            </v:shapetype>
            <v:shape id="Text Box 1" o:spid="_x0000_s1030" type="#_x0000_t202" alt="OFFICIAL - OFGEM USE ONLY" style="position:absolute;margin-left:0;margin-top:0;width:127.5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" filled="f" stroked="f">
              <v:fill o:detectmouseclick="t"/>
              <v:textbox style="mso-fit-shape-to-text:t" inset="0,15pt,0,0">
                <w:txbxContent>
                  <w:p w14:paraId="5120CACF" w14:textId="7211508C" w:rsidR="006543C9" w:rsidRPr="006543C9" w:rsidRDefault="006543C9" w:rsidP="006543C9">
                    <w:pPr>
                      <w:rPr>
                        <w:rFonts w:ascii="Aptos" w:eastAsia="Aptos" w:hAnsi="Aptos" w:cs="Aptos"/>
                        <w:noProof/>
                        <w:color w:val="000000"/>
                        <w:sz w:val="20"/>
                        <w:szCs w:val="20"/>
                      </w:rPr>
                    </w:pPr>
                    <w:r w:rsidRPr="006543C9">
                      <w:rPr>
                        <w:rFonts w:ascii="Aptos" w:eastAsia="Aptos" w:hAnsi="Aptos" w:cs="Aptos"/>
                        <w:noProof/>
                        <w:color w:val="000000"/>
                        <w:sz w:val="20"/>
                        <w:szCs w:val="20"/>
                      </w:rPr>
                      <w:t>OFFICIAL - OFGEM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E4D65"/>
    <w:multiLevelType w:val="multilevel"/>
    <w:tmpl w:val="E652910E"/>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abstractNum w:abstractNumId="1" w15:restartNumberingAfterBreak="0">
    <w:nsid w:val="473205EB"/>
    <w:multiLevelType w:val="multilevel"/>
    <w:tmpl w:val="7D9C259E"/>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abstractNum w:abstractNumId="2" w15:restartNumberingAfterBreak="0">
    <w:nsid w:val="4AD108B8"/>
    <w:multiLevelType w:val="multilevel"/>
    <w:tmpl w:val="6F686FBC"/>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abstractNum w:abstractNumId="3" w15:restartNumberingAfterBreak="0">
    <w:nsid w:val="4C286797"/>
    <w:multiLevelType w:val="multilevel"/>
    <w:tmpl w:val="A4443C16"/>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abstractNum w:abstractNumId="4" w15:restartNumberingAfterBreak="0">
    <w:nsid w:val="4C59353F"/>
    <w:multiLevelType w:val="multilevel"/>
    <w:tmpl w:val="BE50B6A8"/>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abstractNum w:abstractNumId="5" w15:restartNumberingAfterBreak="0">
    <w:nsid w:val="573D7740"/>
    <w:multiLevelType w:val="multilevel"/>
    <w:tmpl w:val="30EAE6D2"/>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abstractNum w:abstractNumId="6" w15:restartNumberingAfterBreak="0">
    <w:nsid w:val="5C672044"/>
    <w:multiLevelType w:val="multilevel"/>
    <w:tmpl w:val="241ED69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5E3F6E84"/>
    <w:multiLevelType w:val="multilevel"/>
    <w:tmpl w:val="31807574"/>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abstractNum w:abstractNumId="8" w15:restartNumberingAfterBreak="0">
    <w:nsid w:val="5F0454BD"/>
    <w:multiLevelType w:val="multilevel"/>
    <w:tmpl w:val="2C648488"/>
    <w:lvl w:ilvl="0">
      <w:numFmt w:val="bullet"/>
      <w:lvlText w:val="•"/>
      <w:lvlJc w:val="left"/>
      <w:pPr>
        <w:ind w:left="960" w:hanging="360"/>
      </w:pPr>
      <w:rPr>
        <w:rFonts w:ascii="OpenSymbol" w:eastAsia="OpenSymbol" w:hAnsi="OpenSymbol" w:cs="OpenSymbol"/>
      </w:rPr>
    </w:lvl>
    <w:lvl w:ilvl="1">
      <w:numFmt w:val="bullet"/>
      <w:lvlText w:val="◦"/>
      <w:lvlJc w:val="left"/>
      <w:pPr>
        <w:ind w:left="1320" w:hanging="360"/>
      </w:pPr>
      <w:rPr>
        <w:rFonts w:ascii="OpenSymbol" w:eastAsia="OpenSymbol" w:hAnsi="OpenSymbol" w:cs="OpenSymbol"/>
      </w:rPr>
    </w:lvl>
    <w:lvl w:ilvl="2">
      <w:numFmt w:val="bullet"/>
      <w:lvlText w:val="▪"/>
      <w:lvlJc w:val="left"/>
      <w:pPr>
        <w:ind w:left="1680" w:hanging="360"/>
      </w:pPr>
      <w:rPr>
        <w:rFonts w:ascii="OpenSymbol" w:eastAsia="OpenSymbol" w:hAnsi="OpenSymbol" w:cs="OpenSymbol"/>
      </w:rPr>
    </w:lvl>
    <w:lvl w:ilvl="3">
      <w:numFmt w:val="bullet"/>
      <w:lvlText w:val="•"/>
      <w:lvlJc w:val="left"/>
      <w:pPr>
        <w:ind w:left="2040" w:hanging="360"/>
      </w:pPr>
      <w:rPr>
        <w:rFonts w:ascii="OpenSymbol" w:eastAsia="OpenSymbol" w:hAnsi="OpenSymbol" w:cs="OpenSymbol"/>
      </w:rPr>
    </w:lvl>
    <w:lvl w:ilvl="4">
      <w:numFmt w:val="bullet"/>
      <w:lvlText w:val="◦"/>
      <w:lvlJc w:val="left"/>
      <w:pPr>
        <w:ind w:left="2400" w:hanging="360"/>
      </w:pPr>
      <w:rPr>
        <w:rFonts w:ascii="OpenSymbol" w:eastAsia="OpenSymbol" w:hAnsi="OpenSymbol" w:cs="OpenSymbol"/>
      </w:rPr>
    </w:lvl>
    <w:lvl w:ilvl="5">
      <w:numFmt w:val="bullet"/>
      <w:lvlText w:val="▪"/>
      <w:lvlJc w:val="left"/>
      <w:pPr>
        <w:ind w:left="2760" w:hanging="360"/>
      </w:pPr>
      <w:rPr>
        <w:rFonts w:ascii="OpenSymbol" w:eastAsia="OpenSymbol" w:hAnsi="OpenSymbol" w:cs="OpenSymbol"/>
      </w:rPr>
    </w:lvl>
    <w:lvl w:ilvl="6">
      <w:numFmt w:val="bullet"/>
      <w:lvlText w:val="•"/>
      <w:lvlJc w:val="left"/>
      <w:pPr>
        <w:ind w:left="3120" w:hanging="360"/>
      </w:pPr>
      <w:rPr>
        <w:rFonts w:ascii="OpenSymbol" w:eastAsia="OpenSymbol" w:hAnsi="OpenSymbol" w:cs="OpenSymbol"/>
      </w:rPr>
    </w:lvl>
    <w:lvl w:ilvl="7">
      <w:numFmt w:val="bullet"/>
      <w:lvlText w:val="◦"/>
      <w:lvlJc w:val="left"/>
      <w:pPr>
        <w:ind w:left="3480" w:hanging="360"/>
      </w:pPr>
      <w:rPr>
        <w:rFonts w:ascii="OpenSymbol" w:eastAsia="OpenSymbol" w:hAnsi="OpenSymbol" w:cs="OpenSymbol"/>
      </w:rPr>
    </w:lvl>
    <w:lvl w:ilvl="8">
      <w:numFmt w:val="bullet"/>
      <w:lvlText w:val="▪"/>
      <w:lvlJc w:val="left"/>
      <w:pPr>
        <w:ind w:left="3840" w:hanging="360"/>
      </w:pPr>
      <w:rPr>
        <w:rFonts w:ascii="OpenSymbol" w:eastAsia="OpenSymbol" w:hAnsi="OpenSymbol" w:cs="OpenSymbol"/>
      </w:rPr>
    </w:lvl>
  </w:abstractNum>
  <w:num w:numId="1" w16cid:durableId="330644728">
    <w:abstractNumId w:val="6"/>
  </w:num>
  <w:num w:numId="2" w16cid:durableId="52823083">
    <w:abstractNumId w:val="2"/>
  </w:num>
  <w:num w:numId="3" w16cid:durableId="578058297">
    <w:abstractNumId w:val="7"/>
  </w:num>
  <w:num w:numId="4" w16cid:durableId="2046983307">
    <w:abstractNumId w:val="4"/>
  </w:num>
  <w:num w:numId="5" w16cid:durableId="1387487785">
    <w:abstractNumId w:val="5"/>
  </w:num>
  <w:num w:numId="6" w16cid:durableId="735516262">
    <w:abstractNumId w:val="0"/>
  </w:num>
  <w:num w:numId="7" w16cid:durableId="1816793545">
    <w:abstractNumId w:val="8"/>
  </w:num>
  <w:num w:numId="8" w16cid:durableId="1157111432">
    <w:abstractNumId w:val="3"/>
  </w:num>
  <w:num w:numId="9" w16cid:durableId="8113379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91F68"/>
    <w:rsid w:val="006543C9"/>
    <w:rsid w:val="00771AB8"/>
    <w:rsid w:val="00933C0C"/>
    <w:rsid w:val="00991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1E915"/>
  <w15:docId w15:val="{B8B9BE18-631D-45A6-8842-89E77601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kern w:val="3"/>
        <w:sz w:val="24"/>
        <w:szCs w:val="24"/>
        <w:lang w:val="en-GB"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Heading"/>
    <w:next w:val="Textbody"/>
    <w:uiPriority w:val="9"/>
    <w:qFormat/>
    <w:pPr>
      <w:outlineLvl w:val="0"/>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Noto Sans CJK SC" w:hAnsi="Liberation Sans" w:cs="Liberation Sans"/>
      <w:sz w:val="28"/>
      <w:szCs w:val="28"/>
    </w:rPr>
  </w:style>
  <w:style w:type="paragraph" w:customStyle="1" w:styleId="Textbody">
    <w:name w:val="Text body"/>
    <w:basedOn w:val="Standard"/>
    <w:pPr>
      <w:spacing w:after="140" w:line="276"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style>
  <w:style w:type="paragraph" w:customStyle="1" w:styleId="Comment">
    <w:name w:val="Comment"/>
    <w:basedOn w:val="Standard"/>
    <w:rPr>
      <w:sz w:val="20"/>
      <w:szCs w:val="20"/>
    </w:rPr>
  </w:style>
  <w:style w:type="paragraph" w:customStyle="1" w:styleId="TableHeading">
    <w:name w:val="Table Heading"/>
    <w:basedOn w:val="TableContents"/>
    <w:pPr>
      <w:jc w:val="center"/>
    </w:pPr>
    <w:rPr>
      <w:b/>
      <w:bCs/>
    </w:rPr>
  </w:style>
  <w:style w:type="paragraph" w:styleId="CommentText">
    <w:name w:val="annotation text"/>
    <w:basedOn w:val="Normal"/>
    <w:rPr>
      <w:rFonts w:cs="Mangal"/>
      <w:sz w:val="20"/>
      <w:szCs w:val="18"/>
    </w:rPr>
  </w:style>
  <w:style w:type="character" w:customStyle="1" w:styleId="BulletSymbols">
    <w:name w:val="Bullet Symbols"/>
    <w:rPr>
      <w:rFonts w:ascii="OpenSymbol" w:eastAsia="OpenSymbol" w:hAnsi="OpenSymbol" w:cs="OpenSymbol"/>
    </w:rPr>
  </w:style>
  <w:style w:type="character" w:customStyle="1" w:styleId="CommentTextChar">
    <w:name w:val="Comment Text Char"/>
    <w:basedOn w:val="DefaultParagraphFont"/>
    <w:rPr>
      <w:rFonts w:cs="Mangal"/>
      <w:sz w:val="20"/>
      <w:szCs w:val="18"/>
    </w:rPr>
  </w:style>
  <w:style w:type="character" w:styleId="CommentReference">
    <w:name w:val="annotation reference"/>
    <w:basedOn w:val="DefaultParagraphFont"/>
    <w:rPr>
      <w:sz w:val="16"/>
      <w:szCs w:val="16"/>
    </w:rPr>
  </w:style>
  <w:style w:type="paragraph" w:styleId="Header">
    <w:name w:val="header"/>
    <w:basedOn w:val="Normal"/>
    <w:link w:val="HeaderChar"/>
    <w:uiPriority w:val="99"/>
    <w:unhideWhenUsed/>
    <w:rsid w:val="006543C9"/>
    <w:pPr>
      <w:tabs>
        <w:tab w:val="center" w:pos="4513"/>
        <w:tab w:val="right" w:pos="9026"/>
      </w:tabs>
    </w:pPr>
    <w:rPr>
      <w:rFonts w:cs="Mangal"/>
      <w:szCs w:val="21"/>
    </w:rPr>
  </w:style>
  <w:style w:type="character" w:customStyle="1" w:styleId="HeaderChar">
    <w:name w:val="Header Char"/>
    <w:basedOn w:val="DefaultParagraphFont"/>
    <w:link w:val="Header"/>
    <w:uiPriority w:val="99"/>
    <w:rsid w:val="006543C9"/>
    <w:rPr>
      <w:rFonts w:cs="Mangal"/>
      <w:szCs w:val="21"/>
    </w:rPr>
  </w:style>
  <w:style w:type="paragraph" w:styleId="Footer">
    <w:name w:val="footer"/>
    <w:basedOn w:val="Normal"/>
    <w:link w:val="FooterChar"/>
    <w:uiPriority w:val="99"/>
    <w:unhideWhenUsed/>
    <w:rsid w:val="006543C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6543C9"/>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Downloads/OFGEM%20Consulation%20questions.od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elect Content Type" ma:contentTypeID="0x0101009B2F06AD2E1DC24CB692A63662D40B98008C7D2E3EA4C1994187567EA23A809BDD" ma:contentTypeVersion="31" ma:contentTypeDescription="Select Content Type from drop-down above" ma:contentTypeScope="" ma:versionID="1d5bef161ddcea7a6b4f4a51bb7b1da1">
  <xsd:schema xmlns:xsd="http://www.w3.org/2001/XMLSchema" xmlns:xs="http://www.w3.org/2001/XMLSchema" xmlns:p="http://schemas.microsoft.com/office/2006/metadata/properties" xmlns:ns1="http://schemas.microsoft.com/sharepoint/v3" xmlns:ns2="3c9eaf8e-3b75-4449-94e8-35aaab425fae" xmlns:ns3="3341d090-7c3f-414e-a507-de51ea56ab55" targetNamespace="http://schemas.microsoft.com/office/2006/metadata/properties" ma:root="true" ma:fieldsID="0dacf2103903bceb6c9e5cc5adcf5a17" ns1:_="" ns2:_="" ns3:_="">
    <xsd:import namespace="http://schemas.microsoft.com/sharepoint/v3"/>
    <xsd:import namespace="3c9eaf8e-3b75-4449-94e8-35aaab425fae"/>
    <xsd:import namespace="3341d090-7c3f-414e-a507-de51ea56ab55"/>
    <xsd:element name="properties">
      <xsd:complexType>
        <xsd:sequence>
          <xsd:element name="documentManagement">
            <xsd:complexType>
              <xsd:all>
                <xsd:element ref="ns2:Select_x0020_Content_x0020_Type_x0020_Above" minOccurs="0"/>
                <xsd:element ref="ns2:Classification" minOccurs="0"/>
                <xsd:element ref="ns2:Descriptor" minOccurs="0"/>
                <xsd:element ref="ns1:_ip_UnifiedCompliancePolicyProperties" minOccurs="0"/>
                <xsd:element ref="ns1:_ip_UnifiedCompliancePolicyUIAction" minOccurs="0"/>
                <xsd:element ref="ns3:MediaServiceMetadata" minOccurs="0"/>
                <xsd:element ref="ns3:MediaServiceFastMetadata" minOccurs="0"/>
                <xsd:element ref="ns3:MediaServiceDateTaken" minOccurs="0"/>
                <xsd:element ref="ns3:MediaLengthInSeconds"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Select_x0020_Content_x0020_Type_x0020_Above" ma:index="1" nillable="true" ma:displayName="Select Content Type Above" ma:description="Ensure you select the correct Content Type" ma:hidden="true" ma:internalName="Select_x0020_Content_x0020_Type_x0020_Above" ma:readOnly="false">
      <xsd:simpleType>
        <xsd:restriction base="dms:Text">
          <xsd:maxLength value="1"/>
        </xsd:restriction>
      </xsd:simpleType>
    </xsd:element>
    <xsd:element name="Classification" ma:index="3"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4"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7"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1d090-7c3f-414e-a507-de51ea56ab5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lassification xmlns="3c9eaf8e-3b75-4449-94e8-35aaab425fae">Unclassified</Classification>
    <TaxCatchAll xmlns="3c9eaf8e-3b75-4449-94e8-35aaab425fae" xsi:nil="true"/>
    <Descriptor xmlns="3c9eaf8e-3b75-4449-94e8-35aaab425fae" xsi:nil="true"/>
    <_ip_UnifiedCompliancePolicyUIAction xmlns="http://schemas.microsoft.com/sharepoint/v3" xsi:nil="true"/>
    <_ip_UnifiedCompliancePolicyProperties xmlns="http://schemas.microsoft.com/sharepoint/v3" xsi:nil="true"/>
    <Select_x0020_Content_x0020_Type_x0020_Above xmlns="3c9eaf8e-3b75-4449-94e8-35aaab425fae" xsi:nil="true"/>
  </documentManagement>
</p:properties>
</file>

<file path=customXml/itemProps1.xml><?xml version="1.0" encoding="utf-8"?>
<ds:datastoreItem xmlns:ds="http://schemas.openxmlformats.org/officeDocument/2006/customXml" ds:itemID="{41B66C26-77C5-42A6-A63E-424F8B012F72}"/>
</file>

<file path=customXml/itemProps2.xml><?xml version="1.0" encoding="utf-8"?>
<ds:datastoreItem xmlns:ds="http://schemas.openxmlformats.org/officeDocument/2006/customXml" ds:itemID="{35F57572-C961-46C5-BD38-4D3729108044}"/>
</file>

<file path=customXml/itemProps3.xml><?xml version="1.0" encoding="utf-8"?>
<ds:datastoreItem xmlns:ds="http://schemas.openxmlformats.org/officeDocument/2006/customXml" ds:itemID="{4F1EF1F5-4F5E-4BF3-949D-F0B9565EABAB}"/>
</file>

<file path=docProps/app.xml><?xml version="1.0" encoding="utf-8"?>
<Properties xmlns="http://schemas.openxmlformats.org/officeDocument/2006/extended-properties" xmlns:vt="http://schemas.openxmlformats.org/officeDocument/2006/docPropsVTypes">
  <Template>Normal</Template>
  <TotalTime>0</TotalTime>
  <Pages>9</Pages>
  <Words>2840</Words>
  <Characters>17139</Characters>
  <Application>Microsoft Office Word</Application>
  <DocSecurity>0</DocSecurity>
  <Lines>369</Lines>
  <Paragraphs>192</Paragraphs>
  <ScaleCrop>false</ScaleCrop>
  <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Shovana Talukdar</cp:lastModifiedBy>
  <cp:revision>3</cp:revision>
  <dcterms:created xsi:type="dcterms:W3CDTF">2026-04-14T11:15:00Z</dcterms:created>
  <dcterms:modified xsi:type="dcterms:W3CDTF">2026-04-14T11:15:00Z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7998eea3,16e186b4,199683b2</vt:lpwstr>
  </property>
  <property fmtid="{D5CDD505-2E9C-101B-9397-08002B2CF9AE}" pid="3" name="ClassificationContentMarkingHeaderFontProps">
    <vt:lpwstr>#000000,10,Aptos</vt:lpwstr>
  </property>
  <property fmtid="{D5CDD505-2E9C-101B-9397-08002B2CF9AE}" pid="4" name="ClassificationContentMarkingHeaderText">
    <vt:lpwstr>OFFICIAL - OFGEM USE ONLY</vt:lpwstr>
  </property>
  <property fmtid="{D5CDD505-2E9C-101B-9397-08002B2CF9AE}" pid="5" name="ClassificationContentMarkingFooterShapeIds">
    <vt:lpwstr>79f622e6,45c03fca,3f8d4694</vt:lpwstr>
  </property>
  <property fmtid="{D5CDD505-2E9C-101B-9397-08002B2CF9AE}" pid="6" name="ClassificationContentMarkingFooterFontProps">
    <vt:lpwstr>#000000,10,Aptos</vt:lpwstr>
  </property>
  <property fmtid="{D5CDD505-2E9C-101B-9397-08002B2CF9AE}" pid="7" name="ClassificationContentMarkingFooterText">
    <vt:lpwstr>OFFICIAL - OFGEM USE ONLY</vt:lpwstr>
  </property>
  <property fmtid="{D5CDD505-2E9C-101B-9397-08002B2CF9AE}" pid="8" name="MSIP_Label_b9fc2afb-403a-4b65-846c-b297f9e8e2ca_Enabled">
    <vt:lpwstr>true</vt:lpwstr>
  </property>
  <property fmtid="{D5CDD505-2E9C-101B-9397-08002B2CF9AE}" pid="9" name="MSIP_Label_b9fc2afb-403a-4b65-846c-b297f9e8e2ca_SetDate">
    <vt:lpwstr>2026-04-14T11:15:37Z</vt:lpwstr>
  </property>
  <property fmtid="{D5CDD505-2E9C-101B-9397-08002B2CF9AE}" pid="10" name="MSIP_Label_b9fc2afb-403a-4b65-846c-b297f9e8e2ca_Method">
    <vt:lpwstr>Privileged</vt:lpwstr>
  </property>
  <property fmtid="{D5CDD505-2E9C-101B-9397-08002B2CF9AE}" pid="11" name="MSIP_Label_b9fc2afb-403a-4b65-846c-b297f9e8e2ca_Name">
    <vt:lpwstr>OFFICIAL - [OFGEM] USE ONLY</vt:lpwstr>
  </property>
  <property fmtid="{D5CDD505-2E9C-101B-9397-08002B2CF9AE}" pid="12" name="MSIP_Label_b9fc2afb-403a-4b65-846c-b297f9e8e2ca_SiteId">
    <vt:lpwstr>185562ad-39bc-4840-8e40-be6216340c52</vt:lpwstr>
  </property>
  <property fmtid="{D5CDD505-2E9C-101B-9397-08002B2CF9AE}" pid="13" name="MSIP_Label_b9fc2afb-403a-4b65-846c-b297f9e8e2ca_ActionId">
    <vt:lpwstr>c3731098-3ce5-45a0-84a3-61cf590490dc</vt:lpwstr>
  </property>
  <property fmtid="{D5CDD505-2E9C-101B-9397-08002B2CF9AE}" pid="14" name="MSIP_Label_b9fc2afb-403a-4b65-846c-b297f9e8e2ca_ContentBits">
    <vt:lpwstr>3</vt:lpwstr>
  </property>
  <property fmtid="{D5CDD505-2E9C-101B-9397-08002B2CF9AE}" pid="15" name="MSIP_Label_b9fc2afb-403a-4b65-846c-b297f9e8e2ca_Tag">
    <vt:lpwstr>10, 0, 1, 1</vt:lpwstr>
  </property>
  <property fmtid="{D5CDD505-2E9C-101B-9397-08002B2CF9AE}" pid="16" name="ContentTypeId">
    <vt:lpwstr>0x0101009B2F06AD2E1DC24CB692A63662D40B98008C7D2E3EA4C1994187567EA23A809BDD</vt:lpwstr>
  </property>
  <property fmtid="{D5CDD505-2E9C-101B-9397-08002B2CF9AE}" pid="18" name="docLang">
    <vt:lpwstr>en</vt:lpwstr>
  </property>
</Properties>
</file>